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9A2969">
      <w:pPr>
        <w:pStyle w:val="Header"/>
        <w:tabs>
          <w:tab w:val="left" w:pos="3119"/>
          <w:tab w:val="right" w:pos="10490"/>
        </w:tabs>
        <w:rPr>
          <w:rFonts w:ascii="Times New Roman" w:hAnsi="Times New Roman"/>
          <w:sz w:val="24"/>
        </w:rPr>
      </w:pPr>
      <w:bookmarkStart w:id="0" w:name="_GoBack"/>
      <w:bookmarkEnd w:id="0"/>
      <w:r w:rsidRPr="0022368E">
        <w:rPr>
          <w:rFonts w:ascii="Times New Roman" w:hAnsi="Times New Roman"/>
          <w:sz w:val="24"/>
        </w:rPr>
        <w:t>3GPP TSG-RAN WG4 Meeting #</w:t>
      </w:r>
      <w:r w:rsidR="0032455B">
        <w:rPr>
          <w:rFonts w:ascii="Times New Roman" w:hAnsi="Times New Roman"/>
          <w:sz w:val="24"/>
        </w:rPr>
        <w:t>90</w:t>
      </w:r>
      <w:r w:rsidR="00651443">
        <w:rPr>
          <w:rFonts w:ascii="Times New Roman" w:hAnsi="Times New Roman"/>
          <w:sz w:val="24"/>
        </w:rPr>
        <w:t>bis</w:t>
      </w:r>
      <w:r>
        <w:rPr>
          <w:rFonts w:ascii="Times New Roman" w:hAnsi="Times New Roman"/>
          <w:sz w:val="24"/>
        </w:rPr>
        <w:tab/>
      </w:r>
      <w:r w:rsidR="00262C00" w:rsidRPr="00262C00">
        <w:rPr>
          <w:rFonts w:ascii="Times New Roman" w:hAnsi="Times New Roman"/>
          <w:sz w:val="24"/>
        </w:rPr>
        <w:t>R4-1904138</w:t>
      </w:r>
    </w:p>
    <w:p w:rsidR="005813AA" w:rsidRPr="00552689" w:rsidRDefault="00651443" w:rsidP="005813AA">
      <w:pPr>
        <w:pStyle w:val="Header"/>
        <w:rPr>
          <w:rFonts w:ascii="Times New Roman" w:hAnsi="Times New Roman"/>
          <w:sz w:val="24"/>
          <w:lang w:val="en-US"/>
        </w:rPr>
      </w:pPr>
      <w:r>
        <w:rPr>
          <w:rFonts w:ascii="Times New Roman" w:hAnsi="Times New Roman"/>
          <w:sz w:val="24"/>
          <w:lang w:val="en-US"/>
        </w:rPr>
        <w:t>Xi’an</w:t>
      </w:r>
      <w:r w:rsidR="005813AA">
        <w:rPr>
          <w:rFonts w:ascii="Times New Roman" w:hAnsi="Times New Roman"/>
          <w:sz w:val="24"/>
          <w:lang w:val="en-US"/>
        </w:rPr>
        <w:t xml:space="preserve">, </w:t>
      </w:r>
      <w:r>
        <w:rPr>
          <w:rFonts w:ascii="Times New Roman" w:hAnsi="Times New Roman"/>
          <w:sz w:val="24"/>
          <w:lang w:val="en-US"/>
        </w:rPr>
        <w:t>China</w:t>
      </w:r>
      <w:r w:rsidR="005813AA">
        <w:rPr>
          <w:rFonts w:ascii="Times New Roman" w:hAnsi="Times New Roman"/>
          <w:sz w:val="24"/>
          <w:lang w:val="en-US"/>
        </w:rPr>
        <w:t xml:space="preserve">, </w:t>
      </w:r>
      <w:r>
        <w:rPr>
          <w:rFonts w:ascii="Times New Roman" w:hAnsi="Times New Roman"/>
          <w:sz w:val="24"/>
          <w:lang w:val="en-US"/>
        </w:rPr>
        <w:t>8</w:t>
      </w:r>
      <w:r w:rsidR="0032455B">
        <w:rPr>
          <w:rFonts w:ascii="Times New Roman" w:hAnsi="Times New Roman"/>
          <w:sz w:val="24"/>
          <w:lang w:val="en-US"/>
        </w:rPr>
        <w:t xml:space="preserve"> </w:t>
      </w:r>
      <w:r w:rsidR="002B1082">
        <w:rPr>
          <w:rFonts w:ascii="Times New Roman" w:hAnsi="Times New Roman"/>
          <w:sz w:val="24"/>
          <w:lang w:val="en-US"/>
        </w:rPr>
        <w:t>-</w:t>
      </w:r>
      <w:r>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2</w:t>
      </w:r>
      <w:r w:rsidR="002B1082">
        <w:rPr>
          <w:rFonts w:ascii="Times New Roman" w:hAnsi="Times New Roman"/>
          <w:sz w:val="24"/>
          <w:lang w:val="en-US"/>
        </w:rPr>
        <w:t xml:space="preserve"> </w:t>
      </w:r>
      <w:r>
        <w:rPr>
          <w:rFonts w:ascii="Times New Roman" w:hAnsi="Times New Roman"/>
          <w:sz w:val="24"/>
          <w:lang w:val="en-US"/>
        </w:rPr>
        <w:t>April</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EC530D">
        <w:rPr>
          <w:rFonts w:ascii="Arial" w:hAnsi="Arial" w:cs="Arial"/>
          <w:sz w:val="24"/>
          <w:lang w:val="en-US" w:eastAsia="zh-CN"/>
        </w:rPr>
        <w:t>Gap sharing for NE-DC and NR-DC</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A04444">
        <w:rPr>
          <w:rFonts w:ascii="Arial" w:hAnsi="Arial" w:cs="Arial"/>
          <w:sz w:val="24"/>
          <w:lang w:val="en-US" w:eastAsia="zh-CN"/>
        </w:rPr>
        <w:t>6.1.2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5813AA" w:rsidRDefault="005813AA" w:rsidP="00DA6BF8">
      <w:pPr>
        <w:pStyle w:val="Heading1"/>
      </w:pPr>
      <w:r w:rsidRPr="00DA6BF8">
        <w:t>Introduction</w:t>
      </w:r>
    </w:p>
    <w:p w:rsidR="00E948E9" w:rsidRPr="0032455B" w:rsidRDefault="00EC530D" w:rsidP="0032455B">
      <w:r>
        <w:t>In RAN4#90 there were discussions on gap sharing for NE-DC and NR-DC, and it was proposed to introduce a modified scheme for FR2 intra-frequency gap sharing compared with the scheme for EN-DC and SA.</w:t>
      </w:r>
      <w:r w:rsidR="00DF40E2">
        <w:t xml:space="preserve"> A way forward was proposed I but not agreed. n </w:t>
      </w:r>
      <w:r w:rsidR="00DF40E2">
        <w:fldChar w:fldCharType="begin"/>
      </w:r>
      <w:r w:rsidR="00DF40E2">
        <w:instrText xml:space="preserve"> REF _Ref3541219 \r \h </w:instrText>
      </w:r>
      <w:r w:rsidR="00DF40E2">
        <w:fldChar w:fldCharType="separate"/>
      </w:r>
      <w:r w:rsidR="00B82A8A">
        <w:t>[1]</w:t>
      </w:r>
      <w:r w:rsidR="00DF40E2">
        <w:fldChar w:fldCharType="end"/>
      </w:r>
      <w:r>
        <w:t xml:space="preserve"> In this contribution, we discuss further the proposed modified scheme.</w:t>
      </w:r>
    </w:p>
    <w:p w:rsidR="005813AA" w:rsidRDefault="005813AA" w:rsidP="005813AA">
      <w:pPr>
        <w:pStyle w:val="Heading1"/>
        <w:jc w:val="both"/>
        <w:rPr>
          <w:rFonts w:eastAsia="SimSun"/>
          <w:lang w:val="en-US" w:eastAsia="zh-CN"/>
        </w:rPr>
      </w:pPr>
      <w:r>
        <w:rPr>
          <w:rFonts w:eastAsia="SimSun"/>
          <w:lang w:val="en-US" w:eastAsia="zh-CN"/>
        </w:rPr>
        <w:t>Discussion</w:t>
      </w:r>
    </w:p>
    <w:p w:rsidR="0034168A" w:rsidRDefault="00EC530D" w:rsidP="0034168A">
      <w:pPr>
        <w:rPr>
          <w:lang w:val="en-US" w:eastAsia="zh-CN"/>
        </w:rPr>
      </w:pPr>
      <w:r>
        <w:rPr>
          <w:lang w:val="en-US" w:eastAsia="zh-CN"/>
        </w:rPr>
        <w:t>Gap sharing was firstly introduced for LTE cat M1 when gap based intrafrequency measurements were first introduced due to a concept somewhat analogous to NR bandwidth parts whereby the UE may need to retune its receiver to make measurements. The basic scheme specified divided measurement gaps into two pools, which we will denote as pool A and pool B, and to define a sharing ratio between pool A and pool B. Depending on the configured sharing ratio, requirements assume a certain sharing of gaps between pool A and pool B.</w:t>
      </w:r>
    </w:p>
    <w:p w:rsidR="00EC530D" w:rsidRDefault="00EC530D" w:rsidP="0034168A">
      <w:pPr>
        <w:rPr>
          <w:lang w:val="en-US" w:eastAsia="zh-CN"/>
        </w:rPr>
      </w:pPr>
      <w:r>
        <w:rPr>
          <w:lang w:val="en-US" w:eastAsia="zh-CN"/>
        </w:rPr>
        <w:t xml:space="preserve">In LTE cat M1 work, pool A corresponds to intrafrequency measurements and pool B corresponds to interfrequency measurements. The sharing ratio may be </w:t>
      </w:r>
      <w:r w:rsidR="00A04444">
        <w:rPr>
          <w:lang w:val="en-US" w:eastAsia="zh-CN"/>
        </w:rPr>
        <w:t>configured,</w:t>
      </w:r>
      <w:r>
        <w:rPr>
          <w:lang w:val="en-US" w:eastAsia="zh-CN"/>
        </w:rPr>
        <w:t xml:space="preserve"> and the sharing ratio depends on the exact configuration, but in all cases where non equal sharing is used, at least 40% of gaps are assumed to belong to pool A from a requirements perspective,</w:t>
      </w:r>
    </w:p>
    <w:p w:rsidR="00EC530D" w:rsidRDefault="00EC530D" w:rsidP="0034168A">
      <w:pPr>
        <w:rPr>
          <w:lang w:val="en-US" w:eastAsia="zh-CN"/>
        </w:rPr>
      </w:pPr>
      <w:r>
        <w:rPr>
          <w:lang w:val="en-US" w:eastAsia="zh-CN"/>
        </w:rPr>
        <w:t>In NR, the basic sharing mechanism from LTE was reused, but some additional aspects are relevant.</w:t>
      </w:r>
    </w:p>
    <w:p w:rsidR="00EC530D" w:rsidRDefault="00EC530D" w:rsidP="00EC530D">
      <w:pPr>
        <w:numPr>
          <w:ilvl w:val="0"/>
          <w:numId w:val="27"/>
        </w:numPr>
        <w:rPr>
          <w:lang w:val="en-US" w:eastAsia="zh-CN"/>
        </w:rPr>
      </w:pPr>
      <w:r>
        <w:rPr>
          <w:lang w:val="en-US" w:eastAsia="zh-CN"/>
        </w:rPr>
        <w:t xml:space="preserve">The SMTC configuration of the measurement objects in pool A and pool B is also </w:t>
      </w:r>
      <w:r w:rsidR="00EE28B4">
        <w:rPr>
          <w:lang w:val="en-US" w:eastAsia="zh-CN"/>
        </w:rPr>
        <w:t>relevant. For example, if SMTC of measurement objects in pool A and pool B is completely independent, gap sharing has no physical meaning, and within a pool, the SMTC configuration will result in a different CSSF</w:t>
      </w:r>
      <w:r w:rsidR="00EE28B4" w:rsidRPr="00EE28B4">
        <w:rPr>
          <w:vertAlign w:val="subscript"/>
          <w:lang w:val="en-US" w:eastAsia="zh-CN"/>
        </w:rPr>
        <w:t>within_gap</w:t>
      </w:r>
      <w:r>
        <w:rPr>
          <w:lang w:val="en-US" w:eastAsia="zh-CN"/>
        </w:rPr>
        <w:t xml:space="preserve"> </w:t>
      </w:r>
      <w:r w:rsidR="00EE28B4">
        <w:rPr>
          <w:lang w:val="en-US" w:eastAsia="zh-CN"/>
        </w:rPr>
        <w:t>for each measurement object in the pool.</w:t>
      </w:r>
    </w:p>
    <w:p w:rsidR="00EE28B4" w:rsidRDefault="00EE28B4" w:rsidP="00EC530D">
      <w:pPr>
        <w:numPr>
          <w:ilvl w:val="0"/>
          <w:numId w:val="27"/>
        </w:numPr>
        <w:rPr>
          <w:lang w:val="en-US" w:eastAsia="zh-CN"/>
        </w:rPr>
      </w:pPr>
      <w:r>
        <w:rPr>
          <w:lang w:val="en-US" w:eastAsia="zh-CN"/>
        </w:rPr>
        <w:t>So</w:t>
      </w:r>
      <w:r w:rsidR="00A04444">
        <w:rPr>
          <w:lang w:val="en-US" w:eastAsia="zh-CN"/>
        </w:rPr>
        <w:t>-</w:t>
      </w:r>
      <w:r>
        <w:rPr>
          <w:lang w:val="en-US" w:eastAsia="zh-CN"/>
        </w:rPr>
        <w:t>called “type C” measurements are introduced, where the UE RF does not need to be retuned to make intrafrequency measurements, but the SMTC fully overlaps with MG such that measurement gaps are the only time where the intrafrequency measurement can be performed at any rate.</w:t>
      </w:r>
    </w:p>
    <w:p w:rsidR="00EE28B4" w:rsidRDefault="00EE28B4" w:rsidP="00EC530D">
      <w:pPr>
        <w:numPr>
          <w:ilvl w:val="0"/>
          <w:numId w:val="27"/>
        </w:numPr>
        <w:rPr>
          <w:lang w:val="en-US" w:eastAsia="zh-CN"/>
        </w:rPr>
      </w:pPr>
      <w:r>
        <w:rPr>
          <w:lang w:val="en-US" w:eastAsia="zh-CN"/>
        </w:rPr>
        <w:t>More diverse scenarios such as FR1+FR2 carrier aggregation and NR-DC are introduced</w:t>
      </w:r>
    </w:p>
    <w:p w:rsidR="00EE28B4" w:rsidRDefault="00EE28B4" w:rsidP="00EC530D">
      <w:pPr>
        <w:numPr>
          <w:ilvl w:val="0"/>
          <w:numId w:val="27"/>
        </w:numPr>
        <w:rPr>
          <w:lang w:val="en-US" w:eastAsia="zh-CN"/>
        </w:rPr>
      </w:pPr>
      <w:r>
        <w:rPr>
          <w:lang w:val="en-US" w:eastAsia="zh-CN"/>
        </w:rPr>
        <w:t>More diverse UE capabilities, such as per FR measurement capability are introduced. For a UE supporting per FR gaps, FR1 and FR2 gap patterns may be configured independently of each other and the UE is able to measure FR1 measurement objects (either intra or inter) in the FR1 gap pattern and FR2 measurement objects (either intra or inter) in the FR2 measurement gap pattern.</w:t>
      </w:r>
    </w:p>
    <w:p w:rsidR="00EE28B4" w:rsidRPr="0034168A" w:rsidRDefault="00EE28B4" w:rsidP="00EE28B4">
      <w:pPr>
        <w:rPr>
          <w:lang w:val="en-US" w:eastAsia="zh-CN"/>
        </w:rPr>
      </w:pPr>
      <w:r>
        <w:rPr>
          <w:lang w:val="en-US" w:eastAsia="zh-CN"/>
        </w:rPr>
        <w:t>Another area which needs to be considered is the UE measurement capability, which defines the minimum requirement for how many measurement objects of different types (intra, inter, interRAT) may be configured as well as a total number of measurement objects. For example, for NR-DC it was agreed</w:t>
      </w:r>
    </w:p>
    <w:tbl>
      <w:tblPr>
        <w:tblStyle w:val="TableGrid"/>
        <w:tblW w:w="0" w:type="auto"/>
        <w:tblLook w:val="04A0" w:firstRow="1" w:lastRow="0" w:firstColumn="1" w:lastColumn="0" w:noHBand="0" w:noVBand="1"/>
      </w:tblPr>
      <w:tblGrid>
        <w:gridCol w:w="10537"/>
      </w:tblGrid>
      <w:tr w:rsidR="003C109D" w:rsidTr="003C109D">
        <w:tc>
          <w:tcPr>
            <w:tcW w:w="10763" w:type="dxa"/>
          </w:tcPr>
          <w:p w:rsidR="00BF1DB2" w:rsidRPr="003445FB" w:rsidRDefault="00BF1DB2" w:rsidP="00BF1DB2">
            <w:pPr>
              <w:pStyle w:val="Heading4"/>
              <w:outlineLvl w:val="3"/>
            </w:pPr>
            <w:r w:rsidRPr="003445FB">
              <w:lastRenderedPageBreak/>
              <w:t>9.1.3.2</w:t>
            </w:r>
            <w:r>
              <w:t>b</w:t>
            </w:r>
            <w:r w:rsidRPr="003445FB">
              <w:tab/>
            </w:r>
            <w:r>
              <w:t>NE-DC</w:t>
            </w:r>
            <w:r w:rsidRPr="003445FB">
              <w:t>: Maximum allowed layers for multiple monitoring</w:t>
            </w:r>
          </w:p>
          <w:p w:rsidR="00BF1DB2" w:rsidRPr="003445FB" w:rsidRDefault="00BF1DB2" w:rsidP="00BF1DB2">
            <w:pPr>
              <w:rPr>
                <w:lang w:eastAsia="ko-KR"/>
              </w:rPr>
            </w:pPr>
            <w:r w:rsidRPr="003445FB">
              <w:rPr>
                <w:lang w:eastAsia="ko-KR"/>
              </w:rPr>
              <w:t xml:space="preserve">If a UE is configured with </w:t>
            </w:r>
            <w:r>
              <w:rPr>
                <w:lang w:eastAsia="ko-KR"/>
              </w:rPr>
              <w:t>NE-DC</w:t>
            </w:r>
            <w:r w:rsidRPr="003445FB">
              <w:rPr>
                <w:lang w:eastAsia="ko-KR"/>
              </w:rPr>
              <w:t xml:space="preserve"> operation</w:t>
            </w:r>
            <w:r>
              <w:rPr>
                <w:lang w:eastAsia="ko-KR"/>
              </w:rPr>
              <w:t xml:space="preserve"> mode</w:t>
            </w:r>
            <w:r w:rsidRPr="003445FB">
              <w:rPr>
                <w:lang w:eastAsia="ko-KR"/>
              </w:rPr>
              <w:t>, the UE shall be capable of monitoring at least:</w:t>
            </w:r>
          </w:p>
          <w:p w:rsidR="00BF1DB2" w:rsidRPr="003445FB" w:rsidRDefault="00BF1DB2" w:rsidP="00BF1DB2">
            <w:pPr>
              <w:pStyle w:val="B10"/>
            </w:pPr>
            <w:r w:rsidRPr="003445FB">
              <w:t>-</w:t>
            </w:r>
            <w:r w:rsidRPr="003445FB">
              <w:tab/>
              <w:t>Depending on UE capability, 7 NR inter-frequency carriers configured by P</w:t>
            </w:r>
            <w:r>
              <w:t>C</w:t>
            </w:r>
            <w:r w:rsidRPr="003445FB">
              <w:t>ell, and</w:t>
            </w:r>
          </w:p>
          <w:p w:rsidR="00BF1DB2" w:rsidRPr="003445FB" w:rsidRDefault="00BF1DB2" w:rsidP="00BF1DB2">
            <w:pPr>
              <w:pStyle w:val="B10"/>
            </w:pPr>
            <w:r w:rsidRPr="003445FB">
              <w:t>-</w:t>
            </w:r>
            <w:r w:rsidRPr="003445FB">
              <w:tab/>
              <w:t>Depending on UE capability, 6 E-UTRA TDD inter-frequency carriers configured by E-UTRA P</w:t>
            </w:r>
            <w:r>
              <w:t>S</w:t>
            </w:r>
            <w:r w:rsidRPr="003445FB">
              <w:t>Cell [15], and</w:t>
            </w:r>
          </w:p>
          <w:p w:rsidR="00BF1DB2" w:rsidRPr="003445FB" w:rsidRDefault="00BF1DB2" w:rsidP="00BF1DB2">
            <w:pPr>
              <w:pStyle w:val="B10"/>
            </w:pPr>
            <w:r w:rsidRPr="003445FB">
              <w:t>-</w:t>
            </w:r>
            <w:r w:rsidRPr="003445FB">
              <w:tab/>
              <w:t>Depending on UE capability, 6 E-UTRA FDD inter-frequency carriers configured by E-UTRA P</w:t>
            </w:r>
            <w:r>
              <w:t>S</w:t>
            </w:r>
            <w:r w:rsidRPr="003445FB">
              <w:t>Cell [15], and</w:t>
            </w:r>
          </w:p>
          <w:p w:rsidR="00BF1DB2" w:rsidRPr="007F5639" w:rsidRDefault="00BF1DB2" w:rsidP="00BF1DB2">
            <w:pPr>
              <w:pStyle w:val="B10"/>
            </w:pPr>
            <w:r w:rsidRPr="003445FB">
              <w:t>-</w:t>
            </w:r>
            <w:r w:rsidRPr="003445FB">
              <w:tab/>
              <w:t xml:space="preserve">Depending on UE capability, 1 E-UTRA FDD inter-frequency carrier for RSTD measurements configured via </w:t>
            </w:r>
            <w:r w:rsidRPr="007F5639">
              <w:t>LPP [22], and</w:t>
            </w:r>
          </w:p>
          <w:p w:rsidR="00BF1DB2" w:rsidRPr="007F5639" w:rsidRDefault="00BF1DB2" w:rsidP="00BF1DB2">
            <w:pPr>
              <w:pStyle w:val="B10"/>
            </w:pPr>
            <w:r w:rsidRPr="007F5639">
              <w:t>-</w:t>
            </w:r>
            <w:r w:rsidRPr="007F5639">
              <w:tab/>
              <w:t>Depending on UE capability, 1 E-UTRA TDD inter-frequency carrier for RSTD measurements configured via LPP [22].</w:t>
            </w:r>
          </w:p>
          <w:p w:rsidR="00BF1DB2" w:rsidRPr="007F5639" w:rsidRDefault="00BF1DB2" w:rsidP="00BF1DB2">
            <w:pPr>
              <w:rPr>
                <w:i/>
              </w:rPr>
            </w:pPr>
            <w:r w:rsidRPr="007F5639">
              <w:rPr>
                <w:iCs/>
              </w:rPr>
              <w:t xml:space="preserve">In addition to the requirements defined above, </w:t>
            </w:r>
            <w:r w:rsidRPr="007F5639">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7F5639">
              <w:rPr>
                <w:lang w:eastAsia="zh-CN"/>
              </w:rPr>
              <w:t xml:space="preserve">excluding E-UTRA serving carrier(s), comprising of any above defined combination of E-UTRA inter-RAT carriers excluding E-UTRA serving carrier(s) </w:t>
            </w:r>
            <w:r w:rsidRPr="007F5639">
              <w:t xml:space="preserve">configured by PCell and </w:t>
            </w:r>
            <w:r w:rsidRPr="007F5639">
              <w:rPr>
                <w:lang w:eastAsia="zh-CN"/>
              </w:rPr>
              <w:t xml:space="preserve">E-UTRA inter-frequency carriers configured by E-UTRA </w:t>
            </w:r>
            <w:r w:rsidRPr="007F5639">
              <w:t>PSCell.</w:t>
            </w:r>
            <w:r w:rsidRPr="003445FB">
              <w:rPr>
                <w:i/>
              </w:rPr>
              <w:t xml:space="preserve">Editor’s note: FFS when the </w:t>
            </w:r>
            <w:r>
              <w:rPr>
                <w:i/>
              </w:rPr>
              <w:t xml:space="preserve">PCell and </w:t>
            </w:r>
            <w:r w:rsidRPr="003445FB">
              <w:rPr>
                <w:i/>
              </w:rPr>
              <w:t>E-UTRA P</w:t>
            </w:r>
            <w:r>
              <w:rPr>
                <w:i/>
              </w:rPr>
              <w:t xml:space="preserve">SCell </w:t>
            </w:r>
            <w:r w:rsidRPr="003445FB">
              <w:rPr>
                <w:i/>
              </w:rPr>
              <w:t xml:space="preserve">configure the same </w:t>
            </w:r>
            <w:r>
              <w:rPr>
                <w:i/>
              </w:rPr>
              <w:t>E-UTRA</w:t>
            </w:r>
            <w:r w:rsidRPr="003445FB">
              <w:rPr>
                <w:i/>
              </w:rPr>
              <w:t xml:space="preserve"> carrier frequency layer to be monitored.</w:t>
            </w:r>
          </w:p>
          <w:p w:rsidR="00BF1DB2" w:rsidRDefault="00BF1DB2" w:rsidP="003C109D">
            <w:pPr>
              <w:keepNext/>
              <w:keepLines/>
              <w:spacing w:before="120"/>
              <w:ind w:left="1418" w:hanging="1418"/>
              <w:outlineLvl w:val="3"/>
              <w:rPr>
                <w:rFonts w:ascii="Arial" w:eastAsia="Times New Roman" w:hAnsi="Arial"/>
                <w:sz w:val="24"/>
              </w:rPr>
            </w:pPr>
          </w:p>
          <w:p w:rsidR="003C109D" w:rsidRPr="00CC1E70" w:rsidRDefault="003C109D" w:rsidP="003C109D">
            <w:pPr>
              <w:keepNext/>
              <w:keepLines/>
              <w:spacing w:before="120"/>
              <w:ind w:left="1418" w:hanging="1418"/>
              <w:outlineLvl w:val="3"/>
              <w:rPr>
                <w:rFonts w:ascii="Arial" w:eastAsia="Times New Roman" w:hAnsi="Arial"/>
                <w:sz w:val="24"/>
              </w:rPr>
            </w:pPr>
            <w:r w:rsidRPr="00CC1E70">
              <w:rPr>
                <w:rFonts w:ascii="Arial" w:eastAsia="Times New Roman" w:hAnsi="Arial"/>
                <w:sz w:val="24"/>
              </w:rPr>
              <w:t>9.1.3.2c</w:t>
            </w:r>
            <w:r w:rsidRPr="00CC1E70">
              <w:rPr>
                <w:rFonts w:ascii="Arial" w:eastAsia="Times New Roman" w:hAnsi="Arial"/>
                <w:sz w:val="24"/>
              </w:rPr>
              <w:tab/>
              <w:t>NR-DC: Maximum allowed layers for multiple monitoring</w:t>
            </w:r>
          </w:p>
          <w:p w:rsidR="003C109D" w:rsidRPr="00CC1E70" w:rsidRDefault="003C109D" w:rsidP="003C109D">
            <w:pPr>
              <w:overflowPunct w:val="0"/>
              <w:autoSpaceDE w:val="0"/>
              <w:autoSpaceDN w:val="0"/>
              <w:adjustRightInd w:val="0"/>
              <w:textAlignment w:val="baseline"/>
              <w:rPr>
                <w:rFonts w:eastAsia="Times New Roman"/>
                <w:lang w:eastAsia="ko-KR"/>
              </w:rPr>
            </w:pPr>
            <w:r w:rsidRPr="00CC1E70">
              <w:rPr>
                <w:rFonts w:eastAsia="Times New Roman"/>
                <w:lang w:eastAsia="ko-KR"/>
              </w:rPr>
              <w:t>If a UE is configured with PCell and PSCell, the UE shall be capable of monitoring at least:</w:t>
            </w:r>
          </w:p>
          <w:p w:rsidR="003C109D" w:rsidRPr="00CC1E70" w:rsidRDefault="003C109D" w:rsidP="003C109D">
            <w:pPr>
              <w:ind w:firstLine="284"/>
              <w:rPr>
                <w:rFonts w:eastAsia="Times New Roman"/>
              </w:rPr>
            </w:pPr>
            <w:r w:rsidRPr="00CC1E70">
              <w:rPr>
                <w:rFonts w:eastAsia="Times New Roman"/>
              </w:rPr>
              <w:t>-</w:t>
            </w:r>
            <w:r w:rsidRPr="00CC1E70">
              <w:rPr>
                <w:rFonts w:eastAsia="Times New Roman"/>
              </w:rPr>
              <w:tab/>
              <w:t>Depending on UE capability, 7 NR inter-frequency carriers configured by PCell, and</w:t>
            </w:r>
          </w:p>
          <w:p w:rsidR="003C109D" w:rsidRPr="00CC1E70" w:rsidRDefault="003C109D" w:rsidP="003C109D">
            <w:pPr>
              <w:ind w:firstLine="284"/>
              <w:rPr>
                <w:rFonts w:eastAsia="Times New Roman"/>
              </w:rPr>
            </w:pPr>
            <w:r w:rsidRPr="00CC1E70">
              <w:rPr>
                <w:rFonts w:eastAsia="Times New Roman"/>
              </w:rPr>
              <w:t>-</w:t>
            </w:r>
            <w:r w:rsidRPr="00CC1E70">
              <w:rPr>
                <w:rFonts w:eastAsia="Times New Roman"/>
              </w:rPr>
              <w:tab/>
              <w:t>Depending on UE capability, 7 NR inter-frequency carriers configured by PSCell, and</w:t>
            </w:r>
          </w:p>
          <w:p w:rsidR="003C109D" w:rsidRPr="00CC1E70" w:rsidRDefault="003C109D" w:rsidP="003C109D">
            <w:pPr>
              <w:ind w:left="720" w:hanging="436"/>
              <w:rPr>
                <w:rFonts w:eastAsia="Times New Roman"/>
              </w:rPr>
            </w:pPr>
            <w:r w:rsidRPr="00CC1E70">
              <w:rPr>
                <w:rFonts w:eastAsia="Times New Roman"/>
              </w:rPr>
              <w:t>-</w:t>
            </w:r>
            <w:r w:rsidRPr="00CC1E70">
              <w:rPr>
                <w:rFonts w:eastAsia="Times New Roman"/>
              </w:rPr>
              <w:tab/>
              <w:t>Depending on UE capability, 7 E-UTRA TDD inter-RAT carriers configured by PCell, and</w:t>
            </w:r>
          </w:p>
          <w:p w:rsidR="003C109D" w:rsidRPr="00CC1E70" w:rsidRDefault="003C109D" w:rsidP="003C109D">
            <w:pPr>
              <w:ind w:firstLine="284"/>
              <w:rPr>
                <w:rFonts w:eastAsia="Times New Roman"/>
              </w:rPr>
            </w:pPr>
            <w:r w:rsidRPr="00CC1E70">
              <w:rPr>
                <w:rFonts w:eastAsia="Times New Roman"/>
              </w:rPr>
              <w:t>-</w:t>
            </w:r>
            <w:r w:rsidRPr="00CC1E70">
              <w:rPr>
                <w:rFonts w:eastAsia="Malgun Gothic"/>
                <w:lang w:eastAsia="ko-KR"/>
              </w:rPr>
              <w:tab/>
            </w:r>
            <w:r w:rsidRPr="00CC1E70">
              <w:rPr>
                <w:rFonts w:eastAsia="Times New Roman"/>
              </w:rPr>
              <w:t>Depending on UE capability, 7 E-UTRA FDD inter-RAT carriers configured by PCell, and</w:t>
            </w:r>
          </w:p>
          <w:p w:rsidR="003C109D" w:rsidRPr="00CC1E70" w:rsidRDefault="003C109D" w:rsidP="003C109D">
            <w:pPr>
              <w:ind w:left="720" w:hanging="436"/>
              <w:rPr>
                <w:rFonts w:eastAsia="Times New Roman"/>
              </w:rPr>
            </w:pPr>
            <w:r w:rsidRPr="00CC1E70">
              <w:rPr>
                <w:rFonts w:eastAsia="Times New Roman"/>
              </w:rPr>
              <w:t>-</w:t>
            </w:r>
            <w:r w:rsidRPr="00CC1E70">
              <w:rPr>
                <w:rFonts w:eastAsia="Times New Roman"/>
              </w:rPr>
              <w:tab/>
              <w:t>Depending on UE capability, 1 E-UTRA FDD inter-RAT carrier for RSTD measurements configured via LPP [22], and</w:t>
            </w:r>
          </w:p>
          <w:p w:rsidR="003C109D" w:rsidRPr="00CC1E70" w:rsidRDefault="003C109D" w:rsidP="003C109D">
            <w:pPr>
              <w:ind w:left="720" w:hanging="436"/>
              <w:rPr>
                <w:rFonts w:eastAsia="Times New Roman"/>
              </w:rPr>
            </w:pPr>
            <w:r w:rsidRPr="00CC1E70">
              <w:rPr>
                <w:rFonts w:eastAsia="Times New Roman"/>
              </w:rPr>
              <w:t>-</w:t>
            </w:r>
            <w:r w:rsidRPr="00CC1E70">
              <w:rPr>
                <w:rFonts w:eastAsia="Times New Roman"/>
              </w:rPr>
              <w:tab/>
              <w:t>Depending on UE capability, 1 E-UTRA TDD inter-RAT carrier for RSTD measurements configured via LPP [22].</w:t>
            </w:r>
          </w:p>
          <w:p w:rsidR="003C109D" w:rsidRDefault="003C109D" w:rsidP="008F765F">
            <w:pPr>
              <w:rPr>
                <w:b/>
                <w:i/>
                <w:lang w:eastAsia="zh-CN"/>
              </w:rPr>
            </w:pPr>
            <w:r w:rsidRPr="003445FB">
              <w:rPr>
                <w:iCs/>
              </w:rPr>
              <w:t>In</w:t>
            </w:r>
            <w:r w:rsidRPr="00CC1E70">
              <w:rPr>
                <w:rFonts w:eastAsia="Times New Roman"/>
                <w:iCs/>
              </w:rPr>
              <w:t xml:space="preserve"> addition to the requirements defined above, </w:t>
            </w:r>
            <w:r w:rsidRPr="00CC1E70">
              <w:rPr>
                <w:rFonts w:eastAsia="Times New Roman"/>
              </w:rPr>
              <w:t>the UE shall be capable of monitoring a total of at least [TBD] effective carrier frequency layers comprising of any above defined combination of NR, E-UTRA FDD and E-UTRA TDD layers.</w:t>
            </w:r>
          </w:p>
        </w:tc>
      </w:tr>
    </w:tbl>
    <w:p w:rsidR="008F765F" w:rsidRDefault="008F765F" w:rsidP="008F765F">
      <w:pPr>
        <w:rPr>
          <w:b/>
          <w:lang w:eastAsia="zh-CN"/>
        </w:rPr>
      </w:pPr>
    </w:p>
    <w:p w:rsidR="00BF1DB2" w:rsidRDefault="00BF1DB2" w:rsidP="008F765F">
      <w:pPr>
        <w:rPr>
          <w:lang w:eastAsia="zh-CN"/>
        </w:rPr>
      </w:pPr>
      <w:r>
        <w:rPr>
          <w:lang w:eastAsia="zh-CN"/>
        </w:rPr>
        <w:t>Based on this description, we can see that a large number of interfrequency layers may be configured for NE-DC or NR-DC. For the purposes of this discussion we will assume 7 interfrequency layers, although in NR-DC it is possible that even more layers could be configured based on PCell and PSCell (subject to the total effective carrier frequency layer requirement which is still TBD).</w:t>
      </w:r>
    </w:p>
    <w:p w:rsidR="00BF1DB2" w:rsidRDefault="00BF1DB2" w:rsidP="008F765F">
      <w:pPr>
        <w:rPr>
          <w:b/>
          <w:lang w:eastAsia="zh-CN"/>
        </w:rPr>
      </w:pPr>
      <w:r>
        <w:rPr>
          <w:b/>
          <w:lang w:eastAsia="zh-CN"/>
        </w:rPr>
        <w:t>Observation 1: The number of configured interfrequency layers for NE-DC and NR-DC can be at least 7</w:t>
      </w:r>
    </w:p>
    <w:p w:rsidR="00BF1DB2" w:rsidRDefault="00BF1DB2" w:rsidP="008F765F">
      <w:pPr>
        <w:rPr>
          <w:lang w:eastAsia="zh-CN"/>
        </w:rPr>
      </w:pPr>
      <w:r>
        <w:rPr>
          <w:lang w:eastAsia="zh-CN"/>
        </w:rPr>
        <w:t>The proposal under discussion in RAN4#90 may be summarised as follows</w:t>
      </w:r>
    </w:p>
    <w:tbl>
      <w:tblPr>
        <w:tblStyle w:val="TableGrid"/>
        <w:tblW w:w="0" w:type="auto"/>
        <w:tblLook w:val="04A0" w:firstRow="1" w:lastRow="0" w:firstColumn="1" w:lastColumn="0" w:noHBand="0" w:noVBand="1"/>
      </w:tblPr>
      <w:tblGrid>
        <w:gridCol w:w="3510"/>
        <w:gridCol w:w="3510"/>
      </w:tblGrid>
      <w:tr w:rsidR="00BF1DB2" w:rsidTr="00B36EF5">
        <w:tc>
          <w:tcPr>
            <w:tcW w:w="3510" w:type="dxa"/>
          </w:tcPr>
          <w:p w:rsidR="00BF1DB2" w:rsidRPr="00BF1DB2" w:rsidRDefault="00BF1DB2" w:rsidP="008F765F">
            <w:pPr>
              <w:rPr>
                <w:b/>
                <w:lang w:eastAsia="zh-CN"/>
              </w:rPr>
            </w:pPr>
            <w:r w:rsidRPr="00BF1DB2">
              <w:rPr>
                <w:b/>
                <w:lang w:eastAsia="zh-CN"/>
              </w:rPr>
              <w:t>Pool A</w:t>
            </w:r>
          </w:p>
        </w:tc>
        <w:tc>
          <w:tcPr>
            <w:tcW w:w="3510" w:type="dxa"/>
          </w:tcPr>
          <w:p w:rsidR="00BF1DB2" w:rsidRPr="00BF1DB2" w:rsidRDefault="00BF1DB2" w:rsidP="008F765F">
            <w:pPr>
              <w:rPr>
                <w:b/>
                <w:lang w:eastAsia="zh-CN"/>
              </w:rPr>
            </w:pPr>
            <w:r w:rsidRPr="00BF1DB2">
              <w:rPr>
                <w:b/>
                <w:lang w:eastAsia="zh-CN"/>
              </w:rPr>
              <w:t>Pool B</w:t>
            </w:r>
          </w:p>
        </w:tc>
      </w:tr>
      <w:tr w:rsidR="00BF1DB2" w:rsidTr="00B36EF5">
        <w:tc>
          <w:tcPr>
            <w:tcW w:w="3510" w:type="dxa"/>
          </w:tcPr>
          <w:p w:rsidR="00BF1DB2" w:rsidRDefault="00FB7471" w:rsidP="008F765F">
            <w:pPr>
              <w:rPr>
                <w:lang w:eastAsia="zh-CN"/>
              </w:rPr>
            </w:pPr>
            <w:r>
              <w:rPr>
                <w:lang w:eastAsia="zh-CN"/>
              </w:rPr>
              <w:t xml:space="preserve">NR </w:t>
            </w:r>
            <w:r w:rsidR="00BF1DB2">
              <w:rPr>
                <w:lang w:eastAsia="zh-CN"/>
              </w:rPr>
              <w:t>Intrafrequency FR1 gap or type C measurement</w:t>
            </w:r>
          </w:p>
        </w:tc>
        <w:tc>
          <w:tcPr>
            <w:tcW w:w="3510" w:type="dxa"/>
          </w:tcPr>
          <w:p w:rsidR="00BF1DB2" w:rsidRDefault="00FB7471" w:rsidP="008F765F">
            <w:pPr>
              <w:rPr>
                <w:lang w:eastAsia="zh-CN"/>
              </w:rPr>
            </w:pPr>
            <w:r>
              <w:rPr>
                <w:lang w:eastAsia="zh-CN"/>
              </w:rPr>
              <w:t xml:space="preserve">NR </w:t>
            </w:r>
            <w:r w:rsidR="00BF1DB2">
              <w:rPr>
                <w:lang w:eastAsia="zh-CN"/>
              </w:rPr>
              <w:t>Intrafrequency FR</w:t>
            </w:r>
            <w:r w:rsidR="00DF40E2">
              <w:rPr>
                <w:lang w:eastAsia="zh-CN"/>
              </w:rPr>
              <w:t>2</w:t>
            </w:r>
            <w:r w:rsidR="00BF1DB2">
              <w:rPr>
                <w:lang w:eastAsia="zh-CN"/>
              </w:rPr>
              <w:t xml:space="preserve"> gap or type C measurement</w:t>
            </w:r>
          </w:p>
        </w:tc>
      </w:tr>
      <w:tr w:rsidR="00BF1DB2" w:rsidTr="00B36EF5">
        <w:tc>
          <w:tcPr>
            <w:tcW w:w="3510" w:type="dxa"/>
          </w:tcPr>
          <w:p w:rsidR="00BF1DB2" w:rsidRDefault="00BF1DB2" w:rsidP="008F765F">
            <w:pPr>
              <w:rPr>
                <w:lang w:eastAsia="zh-CN"/>
              </w:rPr>
            </w:pPr>
          </w:p>
        </w:tc>
        <w:tc>
          <w:tcPr>
            <w:tcW w:w="3510" w:type="dxa"/>
          </w:tcPr>
          <w:p w:rsidR="00BF1DB2" w:rsidRDefault="00FB7471" w:rsidP="008F765F">
            <w:pPr>
              <w:rPr>
                <w:lang w:eastAsia="zh-CN"/>
              </w:rPr>
            </w:pPr>
            <w:r>
              <w:rPr>
                <w:lang w:eastAsia="zh-CN"/>
              </w:rPr>
              <w:t xml:space="preserve">NR Interfrequency measurement configured by PCell or PSCell (NR-DC case only) </w:t>
            </w:r>
          </w:p>
        </w:tc>
      </w:tr>
      <w:tr w:rsidR="00BF1DB2" w:rsidTr="00B36EF5">
        <w:tc>
          <w:tcPr>
            <w:tcW w:w="3510" w:type="dxa"/>
          </w:tcPr>
          <w:p w:rsidR="00BF1DB2" w:rsidRDefault="00BF1DB2" w:rsidP="008F765F">
            <w:pPr>
              <w:rPr>
                <w:lang w:eastAsia="zh-CN"/>
              </w:rPr>
            </w:pPr>
          </w:p>
        </w:tc>
        <w:tc>
          <w:tcPr>
            <w:tcW w:w="3510" w:type="dxa"/>
          </w:tcPr>
          <w:p w:rsidR="00BF1DB2" w:rsidRDefault="00FB7471" w:rsidP="008F765F">
            <w:pPr>
              <w:rPr>
                <w:lang w:eastAsia="zh-CN"/>
              </w:rPr>
            </w:pPr>
            <w:r>
              <w:rPr>
                <w:lang w:eastAsia="zh-CN"/>
              </w:rPr>
              <w:t>LTE interfrequency measurement configured by PSCell (NE-DC case only)</w:t>
            </w:r>
          </w:p>
        </w:tc>
      </w:tr>
      <w:tr w:rsidR="00BF1DB2" w:rsidTr="00B36EF5">
        <w:tc>
          <w:tcPr>
            <w:tcW w:w="3510" w:type="dxa"/>
          </w:tcPr>
          <w:p w:rsidR="00BF1DB2" w:rsidRDefault="00BF1DB2" w:rsidP="008F765F">
            <w:pPr>
              <w:rPr>
                <w:lang w:eastAsia="zh-CN"/>
              </w:rPr>
            </w:pPr>
          </w:p>
        </w:tc>
        <w:tc>
          <w:tcPr>
            <w:tcW w:w="3510" w:type="dxa"/>
          </w:tcPr>
          <w:p w:rsidR="00BF1DB2" w:rsidRDefault="00FB7471" w:rsidP="008F765F">
            <w:pPr>
              <w:rPr>
                <w:lang w:eastAsia="zh-CN"/>
              </w:rPr>
            </w:pPr>
            <w:r>
              <w:rPr>
                <w:lang w:eastAsia="zh-CN"/>
              </w:rPr>
              <w:t xml:space="preserve">InterRAT E-UTRA FDD and E-UTRA TDD measurement configured by </w:t>
            </w:r>
            <w:r w:rsidR="00DF40E2">
              <w:rPr>
                <w:lang w:eastAsia="zh-CN"/>
              </w:rPr>
              <w:t>PCell (NR-DC case only)</w:t>
            </w:r>
          </w:p>
        </w:tc>
      </w:tr>
    </w:tbl>
    <w:p w:rsidR="00BF1DB2" w:rsidRDefault="00BF1DB2" w:rsidP="008F765F">
      <w:pPr>
        <w:rPr>
          <w:lang w:eastAsia="zh-CN"/>
        </w:rPr>
      </w:pPr>
    </w:p>
    <w:p w:rsidR="00DF40E2" w:rsidRPr="00DF40E2" w:rsidRDefault="00DF40E2" w:rsidP="008F765F">
      <w:pPr>
        <w:rPr>
          <w:b/>
          <w:lang w:eastAsia="zh-CN"/>
        </w:rPr>
      </w:pPr>
      <w:r>
        <w:rPr>
          <w:b/>
          <w:lang w:eastAsia="zh-CN"/>
        </w:rPr>
        <w:t xml:space="preserve">Table 1: Types of measurement objects in each gap sharing pool as proposed in </w:t>
      </w:r>
      <w:r>
        <w:rPr>
          <w:b/>
          <w:lang w:eastAsia="zh-CN"/>
        </w:rPr>
        <w:fldChar w:fldCharType="begin"/>
      </w:r>
      <w:r>
        <w:rPr>
          <w:b/>
          <w:lang w:eastAsia="zh-CN"/>
        </w:rPr>
        <w:instrText xml:space="preserve"> REF _Ref3541219 \r \h </w:instrText>
      </w:r>
      <w:r>
        <w:rPr>
          <w:b/>
          <w:lang w:eastAsia="zh-CN"/>
        </w:rPr>
      </w:r>
      <w:r>
        <w:rPr>
          <w:b/>
          <w:lang w:eastAsia="zh-CN"/>
        </w:rPr>
        <w:fldChar w:fldCharType="separate"/>
      </w:r>
      <w:r w:rsidR="00B82A8A">
        <w:rPr>
          <w:b/>
          <w:lang w:eastAsia="zh-CN"/>
        </w:rPr>
        <w:t>[1]</w:t>
      </w:r>
      <w:r>
        <w:rPr>
          <w:b/>
          <w:lang w:eastAsia="zh-CN"/>
        </w:rPr>
        <w:fldChar w:fldCharType="end"/>
      </w:r>
    </w:p>
    <w:p w:rsidR="00DF40E2" w:rsidRDefault="00DF40E2" w:rsidP="008F765F">
      <w:pPr>
        <w:rPr>
          <w:lang w:eastAsia="zh-CN"/>
        </w:rPr>
      </w:pPr>
      <w:r>
        <w:rPr>
          <w:lang w:eastAsia="zh-CN"/>
        </w:rPr>
        <w:t>Although not explicitly stated in table 1, the number of intrafrequency carriers can also be quite large, especially in FR2.</w:t>
      </w:r>
    </w:p>
    <w:p w:rsidR="002D205D" w:rsidRDefault="00DF40E2" w:rsidP="008F765F">
      <w:pPr>
        <w:rPr>
          <w:lang w:eastAsia="zh-CN"/>
        </w:rPr>
      </w:pPr>
      <w:r>
        <w:rPr>
          <w:lang w:eastAsia="zh-CN"/>
        </w:rPr>
        <w:t xml:space="preserve">From our perspective, one of the main motivations of introducing gap sharing is to allow differentiated performance for intra-frequency and non-intrafrequency measurement types. </w:t>
      </w:r>
      <w:r w:rsidR="00A04444">
        <w:rPr>
          <w:lang w:eastAsia="zh-CN"/>
        </w:rPr>
        <w:t>Typically,</w:t>
      </w:r>
      <w:r>
        <w:rPr>
          <w:lang w:eastAsia="zh-CN"/>
        </w:rPr>
        <w:t xml:space="preserve"> intra-frequency mobility is more time critical since </w:t>
      </w:r>
      <w:r w:rsidR="002D205D">
        <w:rPr>
          <w:lang w:eastAsia="zh-CN"/>
        </w:rPr>
        <w:t>neighbour cells provide interference, and if the UE does not make a timely handover/PSCell change, the connection will be lost. Non-intrafrequency measurements are often made for longer term needs such as adding an additional SCell, or performing load balancing, although there are also sometimes deployments such as country or regional borders where an interfrequency handover needs to be made to remain in coverage. However, in these scenarios the UE is not encountering interference on the serving frequency as it moves towards the new cell.</w:t>
      </w:r>
    </w:p>
    <w:p w:rsidR="002D205D" w:rsidRDefault="002D205D" w:rsidP="008F765F">
      <w:pPr>
        <w:rPr>
          <w:b/>
          <w:lang w:eastAsia="zh-CN"/>
        </w:rPr>
      </w:pPr>
      <w:r>
        <w:rPr>
          <w:b/>
          <w:lang w:eastAsia="zh-CN"/>
        </w:rPr>
        <w:t>Observation 2: In a typical scenario, intrafrequency mobility is more time critical to maintain a connection.</w:t>
      </w:r>
    </w:p>
    <w:p w:rsidR="00A05922" w:rsidRDefault="002D205D" w:rsidP="00A05922">
      <w:pPr>
        <w:rPr>
          <w:lang w:eastAsia="zh-CN"/>
        </w:rPr>
      </w:pPr>
      <w:r>
        <w:rPr>
          <w:lang w:eastAsia="zh-CN"/>
        </w:rPr>
        <w:t>So far we do not discuss FR1 and FR2 intrafrequeny mobility needs separately</w:t>
      </w:r>
      <w:r w:rsidR="00A05922">
        <w:rPr>
          <w:lang w:eastAsia="zh-CN"/>
        </w:rPr>
        <w:t>. In RAN4#90, it was suggested that FR1 mobility, corresponding to the PCell is more time critical than FR2 mobility corresponding to the PSCell (NR-DC) or FR2 SCells (NE-DC). Such thinking is valid, because if the PCell is not maintained, the whole NR connection is lost. On the other hand, our concern is that the FR2 branch of the connection may also be rather important for getting UE good throughput, considering the very different bandwidth available on FR2. Hence, efficient serving cell changes are still rather important for FR2 to provide a good user experience, especially considering the likely small cell size on FR2 and the fact that basic measurement periods on FR2 are longer due to the need for UE RX beam</w:t>
      </w:r>
      <w:r w:rsidR="00A04444">
        <w:rPr>
          <w:lang w:eastAsia="zh-CN"/>
        </w:rPr>
        <w:t xml:space="preserve"> </w:t>
      </w:r>
      <w:r w:rsidR="00A05922">
        <w:rPr>
          <w:lang w:eastAsia="zh-CN"/>
        </w:rPr>
        <w:t>sweeping.</w:t>
      </w:r>
    </w:p>
    <w:p w:rsidR="00A05922" w:rsidRDefault="00A05922" w:rsidP="00A05922">
      <w:pPr>
        <w:rPr>
          <w:b/>
          <w:lang w:eastAsia="zh-CN"/>
        </w:rPr>
      </w:pPr>
      <w:r w:rsidRPr="00B82A8A">
        <w:rPr>
          <w:b/>
          <w:lang w:eastAsia="zh-CN"/>
        </w:rPr>
        <w:t xml:space="preserve">Observation 3: Although maintenance of </w:t>
      </w:r>
      <w:r w:rsidR="00B82A8A" w:rsidRPr="00B82A8A">
        <w:rPr>
          <w:b/>
          <w:lang w:eastAsia="zh-CN"/>
        </w:rPr>
        <w:t>serving cell</w:t>
      </w:r>
      <w:r w:rsidRPr="00B82A8A">
        <w:rPr>
          <w:b/>
          <w:lang w:eastAsia="zh-CN"/>
        </w:rPr>
        <w:t xml:space="preserve"> </w:t>
      </w:r>
      <w:r w:rsidR="00B82A8A" w:rsidRPr="00B82A8A">
        <w:rPr>
          <w:b/>
          <w:lang w:eastAsia="zh-CN"/>
        </w:rPr>
        <w:t xml:space="preserve">on FR1 may be regarded as a top priority in mobility needs, efficient serving cell changes are still rather important for FR2 to provide a good user experience, especially considering the likely small cell size on FR2 and the fact that basic measurement </w:t>
      </w:r>
      <w:r w:rsidR="00B82A8A">
        <w:rPr>
          <w:b/>
          <w:lang w:eastAsia="zh-CN"/>
        </w:rPr>
        <w:t>delays and handover/serving cell change</w:t>
      </w:r>
      <w:r w:rsidR="00B82A8A" w:rsidRPr="00B82A8A">
        <w:rPr>
          <w:b/>
          <w:lang w:eastAsia="zh-CN"/>
        </w:rPr>
        <w:t xml:space="preserve"> on FR2 are longer due to the need for UE RX beam</w:t>
      </w:r>
      <w:r w:rsidR="00A04444">
        <w:rPr>
          <w:b/>
          <w:lang w:eastAsia="zh-CN"/>
        </w:rPr>
        <w:t xml:space="preserve"> </w:t>
      </w:r>
      <w:r w:rsidR="00B82A8A" w:rsidRPr="00B82A8A">
        <w:rPr>
          <w:b/>
          <w:lang w:eastAsia="zh-CN"/>
        </w:rPr>
        <w:t>sweeping</w:t>
      </w:r>
    </w:p>
    <w:p w:rsidR="00A05922" w:rsidRDefault="00B82A8A" w:rsidP="00A05922">
      <w:pPr>
        <w:rPr>
          <w:lang w:eastAsia="zh-CN"/>
        </w:rPr>
      </w:pPr>
      <w:r>
        <w:rPr>
          <w:lang w:eastAsia="zh-CN"/>
        </w:rPr>
        <w:t>Considering the proposal in table 1, there exist scenarios where there will be a very large number of measurement objects in pool B. This also implies that a large CSSF</w:t>
      </w:r>
      <w:r w:rsidRPr="00B82A8A">
        <w:rPr>
          <w:vertAlign w:val="subscript"/>
          <w:lang w:eastAsia="zh-CN"/>
        </w:rPr>
        <w:t>within_gap</w:t>
      </w:r>
      <w:r>
        <w:rPr>
          <w:lang w:eastAsia="zh-CN"/>
        </w:rPr>
        <w:t xml:space="preserve"> for the proposed intrafrequency measurement objects in pool B could be unavoidable.</w:t>
      </w:r>
    </w:p>
    <w:p w:rsidR="00B82A8A" w:rsidRPr="00B82A8A" w:rsidRDefault="00B82A8A" w:rsidP="00A05922">
      <w:pPr>
        <w:rPr>
          <w:b/>
          <w:lang w:eastAsia="zh-CN"/>
        </w:rPr>
      </w:pPr>
      <w:r w:rsidRPr="00B82A8A">
        <w:rPr>
          <w:b/>
          <w:lang w:eastAsia="zh-CN"/>
        </w:rPr>
        <w:t xml:space="preserve">Observation 4: </w:t>
      </w:r>
      <w:r>
        <w:rPr>
          <w:b/>
          <w:lang w:eastAsia="zh-CN"/>
        </w:rPr>
        <w:t>T</w:t>
      </w:r>
      <w:r w:rsidRPr="00B82A8A">
        <w:rPr>
          <w:b/>
          <w:lang w:eastAsia="zh-CN"/>
        </w:rPr>
        <w:t>here exist scenarios where there will be a very large number of measurement objects in the proposed pool B. This also implies that a large CSSF</w:t>
      </w:r>
      <w:r w:rsidRPr="00B82A8A">
        <w:rPr>
          <w:b/>
          <w:vertAlign w:val="subscript"/>
          <w:lang w:eastAsia="zh-CN"/>
        </w:rPr>
        <w:t>within_gap</w:t>
      </w:r>
      <w:r w:rsidRPr="00B82A8A">
        <w:rPr>
          <w:b/>
          <w:lang w:eastAsia="zh-CN"/>
        </w:rPr>
        <w:t xml:space="preserve"> for the proposed intrafrequency measurement objects in pool B could be unavoidable.</w:t>
      </w:r>
    </w:p>
    <w:p w:rsidR="00B82A8A" w:rsidRDefault="00B82A8A" w:rsidP="008F765F">
      <w:pPr>
        <w:rPr>
          <w:lang w:eastAsia="zh-CN"/>
        </w:rPr>
      </w:pPr>
      <w:r>
        <w:rPr>
          <w:lang w:eastAsia="zh-CN"/>
        </w:rPr>
        <w:t>Observations 3 and 4 taken together imply that the measurement delays for the intra-frequency measurement objects in FR2 in pool B from the proposed way forward may become excessive, and in many cases the UE will experience intermittent FR2 utilisation as it moves around due to the delays preventing good mobility in FR2. This encapsulates our concern with the proposal.</w:t>
      </w:r>
    </w:p>
    <w:p w:rsidR="00B82A8A" w:rsidRDefault="00B82A8A" w:rsidP="008F765F">
      <w:pPr>
        <w:rPr>
          <w:lang w:eastAsia="zh-CN"/>
        </w:rPr>
      </w:pPr>
      <w:r>
        <w:rPr>
          <w:lang w:eastAsia="zh-CN"/>
        </w:rPr>
        <w:t>We also consider what the network could do to mitigate such issues. There are several approaches that could be considered in network implementation such as</w:t>
      </w:r>
    </w:p>
    <w:p w:rsidR="00B82A8A" w:rsidRPr="00C57DFA" w:rsidRDefault="00B82A8A" w:rsidP="00B82A8A">
      <w:pPr>
        <w:pStyle w:val="ListParagraph"/>
        <w:numPr>
          <w:ilvl w:val="0"/>
          <w:numId w:val="29"/>
        </w:numPr>
        <w:rPr>
          <w:sz w:val="20"/>
          <w:szCs w:val="20"/>
          <w:lang w:eastAsia="zh-CN"/>
        </w:rPr>
      </w:pPr>
      <w:r w:rsidRPr="00B82A8A">
        <w:rPr>
          <w:sz w:val="20"/>
          <w:szCs w:val="20"/>
          <w:lang w:val="en-GB" w:eastAsia="zh-CN"/>
        </w:rPr>
        <w:t>Reducing other types of carriers in pool B</w:t>
      </w:r>
      <w:r>
        <w:rPr>
          <w:sz w:val="20"/>
          <w:szCs w:val="20"/>
          <w:lang w:val="en-GB" w:eastAsia="zh-CN"/>
        </w:rPr>
        <w:t xml:space="preserve">. However, this limits </w:t>
      </w:r>
      <w:r w:rsidR="00C57DFA">
        <w:rPr>
          <w:sz w:val="20"/>
          <w:szCs w:val="20"/>
          <w:lang w:val="en-GB" w:eastAsia="zh-CN"/>
        </w:rPr>
        <w:t>the possibility to configure load balancing or CA enabling measurements on other carriers</w:t>
      </w:r>
    </w:p>
    <w:p w:rsidR="00C57DFA" w:rsidRPr="00C57DFA" w:rsidRDefault="00C57DFA" w:rsidP="00B82A8A">
      <w:pPr>
        <w:pStyle w:val="ListParagraph"/>
        <w:numPr>
          <w:ilvl w:val="0"/>
          <w:numId w:val="29"/>
        </w:numPr>
        <w:rPr>
          <w:sz w:val="20"/>
          <w:szCs w:val="20"/>
          <w:lang w:eastAsia="zh-CN"/>
        </w:rPr>
      </w:pPr>
      <w:r>
        <w:rPr>
          <w:sz w:val="20"/>
          <w:szCs w:val="20"/>
          <w:lang w:val="en-GB" w:eastAsia="zh-CN"/>
        </w:rPr>
        <w:t xml:space="preserve">Modifying the SMTC configuration of carriers in pool B. </w:t>
      </w:r>
    </w:p>
    <w:p w:rsidR="00C57DFA" w:rsidRPr="00C57DFA" w:rsidRDefault="00C57DFA" w:rsidP="00C57DFA">
      <w:pPr>
        <w:pStyle w:val="ListParagraph"/>
        <w:numPr>
          <w:ilvl w:val="1"/>
          <w:numId w:val="29"/>
        </w:numPr>
        <w:rPr>
          <w:sz w:val="20"/>
          <w:szCs w:val="20"/>
          <w:lang w:eastAsia="zh-CN"/>
        </w:rPr>
      </w:pPr>
      <w:r>
        <w:rPr>
          <w:sz w:val="20"/>
          <w:szCs w:val="20"/>
          <w:lang w:val="en-GB" w:eastAsia="zh-CN"/>
        </w:rPr>
        <w:t>If the intrafrequency measurements are type-C, one way is to provide shorter SMTC period or change SMTC offset, converting the measurements to type A or type B measurement. This cannot help with type D measurements.</w:t>
      </w:r>
      <w:r w:rsidR="00074C8E">
        <w:rPr>
          <w:sz w:val="20"/>
          <w:szCs w:val="20"/>
          <w:lang w:val="en-GB" w:eastAsia="zh-CN"/>
        </w:rPr>
        <w:t xml:space="preserve"> It would also reduce FR2 throughput due to the scheduling restriction for type A/B measurement, although at the benefit of improved measurement performance.</w:t>
      </w:r>
    </w:p>
    <w:p w:rsidR="00C57DFA" w:rsidRPr="006C775A" w:rsidRDefault="00C57DFA" w:rsidP="00C57DFA">
      <w:pPr>
        <w:pStyle w:val="ListParagraph"/>
        <w:numPr>
          <w:ilvl w:val="1"/>
          <w:numId w:val="29"/>
        </w:numPr>
        <w:rPr>
          <w:sz w:val="20"/>
          <w:szCs w:val="20"/>
          <w:lang w:eastAsia="zh-CN"/>
        </w:rPr>
      </w:pPr>
      <w:r>
        <w:rPr>
          <w:sz w:val="20"/>
          <w:szCs w:val="20"/>
          <w:lang w:val="en-GB" w:eastAsia="zh-CN"/>
        </w:rPr>
        <w:lastRenderedPageBreak/>
        <w:t>Splitting pool B into at least two different</w:t>
      </w:r>
      <w:r w:rsidR="006C775A">
        <w:rPr>
          <w:sz w:val="20"/>
          <w:szCs w:val="20"/>
          <w:lang w:val="en-GB" w:eastAsia="zh-CN"/>
        </w:rPr>
        <w:t xml:space="preserve">, fully </w:t>
      </w:r>
      <w:r w:rsidR="00A04444">
        <w:rPr>
          <w:sz w:val="20"/>
          <w:szCs w:val="20"/>
          <w:lang w:val="en-GB" w:eastAsia="zh-CN"/>
        </w:rPr>
        <w:t>non-overlapping</w:t>
      </w:r>
      <w:r>
        <w:rPr>
          <w:sz w:val="20"/>
          <w:szCs w:val="20"/>
          <w:lang w:val="en-GB" w:eastAsia="zh-CN"/>
        </w:rPr>
        <w:t xml:space="preserve"> SMTC configurations</w:t>
      </w:r>
      <w:r w:rsidR="006C775A">
        <w:rPr>
          <w:sz w:val="20"/>
          <w:szCs w:val="20"/>
          <w:lang w:val="en-GB" w:eastAsia="zh-CN"/>
        </w:rPr>
        <w:t>. Then intrafrequency FR2 measurement objects in pool B do not need to compete with other measurement objects in pool B in CSSF</w:t>
      </w:r>
      <w:r w:rsidR="006C775A" w:rsidRPr="006C775A">
        <w:rPr>
          <w:sz w:val="20"/>
          <w:szCs w:val="20"/>
          <w:vertAlign w:val="subscript"/>
          <w:lang w:val="en-GB" w:eastAsia="zh-CN"/>
        </w:rPr>
        <w:t>within_gap</w:t>
      </w:r>
      <w:r w:rsidR="006C775A">
        <w:rPr>
          <w:sz w:val="20"/>
          <w:szCs w:val="20"/>
          <w:lang w:val="en-GB" w:eastAsia="zh-CN"/>
        </w:rPr>
        <w:t xml:space="preserve"> calculations.</w:t>
      </w:r>
    </w:p>
    <w:p w:rsidR="00074C8E" w:rsidRDefault="006C775A" w:rsidP="006C775A">
      <w:pPr>
        <w:rPr>
          <w:lang w:eastAsia="zh-CN"/>
        </w:rPr>
      </w:pPr>
      <w:r>
        <w:rPr>
          <w:lang w:eastAsia="zh-CN"/>
        </w:rPr>
        <w:t xml:space="preserve">While modifying SMTC configurations does indeed provide some possibility to work around the possible issues of deprioritisation of FR2 intrafrequency measurements, we need to keep in mind the system impacts. What is an intrafrequency FR2 measurement object for one UE in the system may well be an interfrequency or interRAT measurement object for another UE. Although SMTC is configured for connected mode UEs on a per UE basis, it is a network responsibility to </w:t>
      </w:r>
      <w:r w:rsidR="00225763">
        <w:rPr>
          <w:lang w:eastAsia="zh-CN"/>
        </w:rPr>
        <w:t>transmit</w:t>
      </w:r>
      <w:r>
        <w:rPr>
          <w:lang w:eastAsia="zh-CN"/>
        </w:rPr>
        <w:t xml:space="preserve"> SSBs </w:t>
      </w:r>
      <w:r w:rsidR="00225763">
        <w:rPr>
          <w:lang w:eastAsia="zh-CN"/>
        </w:rPr>
        <w:t>for each and every SMTC configuration that is currently used by any UE connected to, or monitoring the frequency layer. Additionally, SSB transmission also needs to be planned for RLM, beam management etc.</w:t>
      </w:r>
      <w:r w:rsidR="00074C8E">
        <w:rPr>
          <w:lang w:eastAsia="zh-CN"/>
        </w:rPr>
        <w:t xml:space="preserve"> Hence it is likely to increase overall SSB transmission overhead to adopt either mitigation scheme.</w:t>
      </w:r>
    </w:p>
    <w:p w:rsidR="00580067" w:rsidRDefault="00074C8E" w:rsidP="006C775A">
      <w:pPr>
        <w:rPr>
          <w:b/>
          <w:lang w:eastAsia="zh-CN"/>
        </w:rPr>
      </w:pPr>
      <w:r>
        <w:rPr>
          <w:b/>
          <w:lang w:eastAsia="zh-CN"/>
        </w:rPr>
        <w:t>Observation 5: Schemes to mitigate increased FR</w:t>
      </w:r>
      <w:r w:rsidR="00580067">
        <w:rPr>
          <w:b/>
          <w:lang w:eastAsia="zh-CN"/>
        </w:rPr>
        <w:t>2</w:t>
      </w:r>
      <w:r>
        <w:rPr>
          <w:b/>
          <w:lang w:eastAsia="zh-CN"/>
        </w:rPr>
        <w:t xml:space="preserve"> measurement delay due to deprioritisation may </w:t>
      </w:r>
      <w:r w:rsidR="00580067">
        <w:rPr>
          <w:b/>
          <w:lang w:eastAsia="zh-CN"/>
        </w:rPr>
        <w:t>increase SSB overhead or reduce user throughput.</w:t>
      </w:r>
    </w:p>
    <w:p w:rsidR="00074C8E" w:rsidRPr="00066F04" w:rsidRDefault="00580067" w:rsidP="006C775A">
      <w:pPr>
        <w:rPr>
          <w:lang w:eastAsia="zh-CN"/>
        </w:rPr>
      </w:pPr>
      <w:r>
        <w:rPr>
          <w:lang w:eastAsia="zh-CN"/>
        </w:rPr>
        <w:t xml:space="preserve">Based on observations 1-5, we have significant concerns on the proposal in </w:t>
      </w:r>
      <w:r>
        <w:rPr>
          <w:lang w:eastAsia="zh-CN"/>
        </w:rPr>
        <w:fldChar w:fldCharType="begin"/>
      </w:r>
      <w:r>
        <w:rPr>
          <w:lang w:eastAsia="zh-CN"/>
        </w:rPr>
        <w:instrText xml:space="preserve"> REF _Ref3541219 \r \h </w:instrText>
      </w:r>
      <w:r>
        <w:rPr>
          <w:lang w:eastAsia="zh-CN"/>
        </w:rPr>
      </w:r>
      <w:r>
        <w:rPr>
          <w:lang w:eastAsia="zh-CN"/>
        </w:rPr>
        <w:fldChar w:fldCharType="separate"/>
      </w:r>
      <w:r>
        <w:rPr>
          <w:lang w:eastAsia="zh-CN"/>
        </w:rPr>
        <w:t>[1]</w:t>
      </w:r>
      <w:r>
        <w:rPr>
          <w:lang w:eastAsia="zh-CN"/>
        </w:rPr>
        <w:fldChar w:fldCharType="end"/>
      </w:r>
      <w:r>
        <w:rPr>
          <w:lang w:eastAsia="zh-CN"/>
        </w:rPr>
        <w:t xml:space="preserve"> to prioritise FR1 intrafrequency measurement, since it also implies that FR2 intrafrequency measurement is deprioritised. The number of measurement objects in pool B may become large, and intra-frequency measurement delays may become very long, especially if the gap sharing ratio prioritises pool 1 and additionally due to RX beamforming on FR2. Hence we propose that </w:t>
      </w:r>
      <w:r w:rsidRPr="00066F04">
        <w:rPr>
          <w:lang w:eastAsia="zh-CN"/>
        </w:rPr>
        <w:t>a similar scheme to EN-DC and SA measurement gap sharing is adopted, as shown in table 2</w:t>
      </w:r>
      <w:r w:rsidR="00066F04">
        <w:rPr>
          <w:lang w:eastAsia="zh-CN"/>
        </w:rPr>
        <w:t>.</w:t>
      </w:r>
    </w:p>
    <w:p w:rsidR="00580067" w:rsidRPr="00580067" w:rsidRDefault="006C775A" w:rsidP="006C775A">
      <w:pPr>
        <w:rPr>
          <w:b/>
          <w:lang w:eastAsia="zh-CN"/>
        </w:rPr>
      </w:pPr>
      <w:r>
        <w:rPr>
          <w:lang w:eastAsia="zh-CN"/>
        </w:rPr>
        <w:t xml:space="preserve"> </w:t>
      </w:r>
      <w:r w:rsidR="00580067">
        <w:rPr>
          <w:b/>
          <w:lang w:eastAsia="zh-CN"/>
        </w:rPr>
        <w:t xml:space="preserve">Proposal </w:t>
      </w:r>
      <w:r w:rsidR="0033117D">
        <w:rPr>
          <w:b/>
          <w:lang w:eastAsia="zh-CN"/>
        </w:rPr>
        <w:t>1</w:t>
      </w:r>
      <w:r w:rsidR="00580067">
        <w:rPr>
          <w:b/>
          <w:lang w:eastAsia="zh-CN"/>
        </w:rPr>
        <w:t>: Adopt the gap sharing scheme shown in table 2</w:t>
      </w:r>
    </w:p>
    <w:tbl>
      <w:tblPr>
        <w:tblStyle w:val="TableGrid"/>
        <w:tblW w:w="0" w:type="auto"/>
        <w:tblLook w:val="04A0" w:firstRow="1" w:lastRow="0" w:firstColumn="1" w:lastColumn="0" w:noHBand="0" w:noVBand="1"/>
      </w:tblPr>
      <w:tblGrid>
        <w:gridCol w:w="3510"/>
        <w:gridCol w:w="3510"/>
      </w:tblGrid>
      <w:tr w:rsidR="00580067" w:rsidTr="00B519EE">
        <w:tc>
          <w:tcPr>
            <w:tcW w:w="3510" w:type="dxa"/>
          </w:tcPr>
          <w:p w:rsidR="00580067" w:rsidRPr="00BF1DB2" w:rsidRDefault="00580067" w:rsidP="00B519EE">
            <w:pPr>
              <w:rPr>
                <w:b/>
                <w:lang w:eastAsia="zh-CN"/>
              </w:rPr>
            </w:pPr>
            <w:r w:rsidRPr="00BF1DB2">
              <w:rPr>
                <w:b/>
                <w:lang w:eastAsia="zh-CN"/>
              </w:rPr>
              <w:t>Pool A</w:t>
            </w:r>
          </w:p>
        </w:tc>
        <w:tc>
          <w:tcPr>
            <w:tcW w:w="3510" w:type="dxa"/>
          </w:tcPr>
          <w:p w:rsidR="00580067" w:rsidRPr="00BF1DB2" w:rsidRDefault="00580067" w:rsidP="00B519EE">
            <w:pPr>
              <w:rPr>
                <w:b/>
                <w:lang w:eastAsia="zh-CN"/>
              </w:rPr>
            </w:pPr>
            <w:r w:rsidRPr="00BF1DB2">
              <w:rPr>
                <w:b/>
                <w:lang w:eastAsia="zh-CN"/>
              </w:rPr>
              <w:t>Pool B</w:t>
            </w:r>
          </w:p>
        </w:tc>
      </w:tr>
      <w:tr w:rsidR="00580067" w:rsidTr="00B519EE">
        <w:tc>
          <w:tcPr>
            <w:tcW w:w="3510" w:type="dxa"/>
          </w:tcPr>
          <w:p w:rsidR="00580067" w:rsidRDefault="00580067" w:rsidP="00580067">
            <w:pPr>
              <w:rPr>
                <w:lang w:eastAsia="zh-CN"/>
              </w:rPr>
            </w:pPr>
            <w:r>
              <w:rPr>
                <w:lang w:eastAsia="zh-CN"/>
              </w:rPr>
              <w:t>NR Intrafrequency FR1 gap or type C measurement</w:t>
            </w:r>
          </w:p>
        </w:tc>
        <w:tc>
          <w:tcPr>
            <w:tcW w:w="3510" w:type="dxa"/>
          </w:tcPr>
          <w:p w:rsidR="00580067" w:rsidRDefault="00580067" w:rsidP="00580067">
            <w:pPr>
              <w:rPr>
                <w:lang w:eastAsia="zh-CN"/>
              </w:rPr>
            </w:pPr>
            <w:r>
              <w:rPr>
                <w:lang w:eastAsia="zh-CN"/>
              </w:rPr>
              <w:t xml:space="preserve">NR Interfrequency measurement configured by PCell or PSCell (NR-DC case only) </w:t>
            </w:r>
          </w:p>
        </w:tc>
      </w:tr>
      <w:tr w:rsidR="00580067" w:rsidTr="00B519EE">
        <w:tc>
          <w:tcPr>
            <w:tcW w:w="3510" w:type="dxa"/>
          </w:tcPr>
          <w:p w:rsidR="00580067" w:rsidRDefault="00580067" w:rsidP="00580067">
            <w:pPr>
              <w:rPr>
                <w:lang w:eastAsia="zh-CN"/>
              </w:rPr>
            </w:pPr>
            <w:r>
              <w:rPr>
                <w:lang w:eastAsia="zh-CN"/>
              </w:rPr>
              <w:t>NR Intrafrequency FR2 gap or type C measurement</w:t>
            </w:r>
          </w:p>
        </w:tc>
        <w:tc>
          <w:tcPr>
            <w:tcW w:w="3510" w:type="dxa"/>
          </w:tcPr>
          <w:p w:rsidR="00580067" w:rsidRDefault="00580067" w:rsidP="00580067">
            <w:pPr>
              <w:rPr>
                <w:lang w:eastAsia="zh-CN"/>
              </w:rPr>
            </w:pPr>
            <w:r>
              <w:rPr>
                <w:lang w:eastAsia="zh-CN"/>
              </w:rPr>
              <w:t>LTE interfrequency measurement configured by PSCell (NE-DC case only)</w:t>
            </w:r>
          </w:p>
        </w:tc>
      </w:tr>
      <w:tr w:rsidR="00580067" w:rsidTr="00B519EE">
        <w:tc>
          <w:tcPr>
            <w:tcW w:w="3510" w:type="dxa"/>
          </w:tcPr>
          <w:p w:rsidR="00580067" w:rsidRDefault="00580067" w:rsidP="00580067">
            <w:pPr>
              <w:rPr>
                <w:lang w:eastAsia="zh-CN"/>
              </w:rPr>
            </w:pPr>
          </w:p>
        </w:tc>
        <w:tc>
          <w:tcPr>
            <w:tcW w:w="3510" w:type="dxa"/>
          </w:tcPr>
          <w:p w:rsidR="00580067" w:rsidRDefault="00580067" w:rsidP="00580067">
            <w:pPr>
              <w:rPr>
                <w:lang w:eastAsia="zh-CN"/>
              </w:rPr>
            </w:pPr>
            <w:r>
              <w:rPr>
                <w:lang w:eastAsia="zh-CN"/>
              </w:rPr>
              <w:t>InterRAT E-UTRA FDD and E-UTRA TDD measurement configured by PCell (NR-DC case only)</w:t>
            </w:r>
          </w:p>
        </w:tc>
      </w:tr>
    </w:tbl>
    <w:p w:rsidR="006C775A" w:rsidRPr="00580067" w:rsidRDefault="00580067" w:rsidP="006C775A">
      <w:pPr>
        <w:rPr>
          <w:b/>
          <w:lang w:eastAsia="zh-CN"/>
        </w:rPr>
      </w:pPr>
      <w:r>
        <w:rPr>
          <w:b/>
          <w:lang w:eastAsia="zh-CN"/>
        </w:rPr>
        <w:t>Table 2: Gap sharing scheme proposed for FR2</w:t>
      </w:r>
    </w:p>
    <w:p w:rsidR="0034168A" w:rsidRDefault="005813AA" w:rsidP="00BE0426">
      <w:pPr>
        <w:pStyle w:val="Heading1"/>
        <w:jc w:val="both"/>
        <w:rPr>
          <w:rFonts w:eastAsia="SimSun"/>
          <w:lang w:val="en-US" w:eastAsia="zh-CN"/>
        </w:rPr>
      </w:pPr>
      <w:r>
        <w:rPr>
          <w:rFonts w:eastAsia="SimSun"/>
          <w:lang w:val="en-US" w:eastAsia="zh-CN"/>
        </w:rPr>
        <w:t>Conclusion</w:t>
      </w:r>
    </w:p>
    <w:p w:rsidR="0033117D" w:rsidRDefault="0033117D" w:rsidP="0033117D">
      <w:pPr>
        <w:rPr>
          <w:lang w:val="en-US" w:eastAsia="zh-CN"/>
        </w:rPr>
      </w:pPr>
      <w:r>
        <w:rPr>
          <w:lang w:val="en-US" w:eastAsia="zh-CN"/>
        </w:rPr>
        <w:t xml:space="preserve">In this contribution we discuss the gap sharing scheme for NE-DC and NR-DC, based on the way forward (not agreed) in </w:t>
      </w:r>
      <w:r>
        <w:rPr>
          <w:lang w:val="en-US" w:eastAsia="zh-CN"/>
        </w:rPr>
        <w:fldChar w:fldCharType="begin"/>
      </w:r>
      <w:r>
        <w:rPr>
          <w:lang w:val="en-US" w:eastAsia="zh-CN"/>
        </w:rPr>
        <w:instrText xml:space="preserve"> REF _Ref3541219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Based on the following observations we have significant concern with the proposed scheme</w:t>
      </w:r>
    </w:p>
    <w:p w:rsidR="00460A4E" w:rsidRDefault="00460A4E" w:rsidP="00460A4E">
      <w:pPr>
        <w:rPr>
          <w:b/>
          <w:lang w:eastAsia="zh-CN"/>
        </w:rPr>
      </w:pPr>
      <w:r>
        <w:rPr>
          <w:b/>
          <w:lang w:eastAsia="zh-CN"/>
        </w:rPr>
        <w:t>Observation 1: The number of configured interfrequency layers for NE-DC and NR-DC can be at least 7</w:t>
      </w:r>
    </w:p>
    <w:p w:rsidR="00460A4E" w:rsidRDefault="00460A4E" w:rsidP="00460A4E">
      <w:pPr>
        <w:rPr>
          <w:b/>
          <w:lang w:eastAsia="zh-CN"/>
        </w:rPr>
      </w:pPr>
      <w:r>
        <w:rPr>
          <w:b/>
          <w:lang w:eastAsia="zh-CN"/>
        </w:rPr>
        <w:t>Observation 2: In a typical scenario, intrafrequency mobility is more time critical to maintain a connection.</w:t>
      </w:r>
    </w:p>
    <w:p w:rsidR="00460A4E" w:rsidRDefault="00460A4E" w:rsidP="00460A4E">
      <w:pPr>
        <w:rPr>
          <w:b/>
          <w:lang w:eastAsia="zh-CN"/>
        </w:rPr>
      </w:pPr>
      <w:r w:rsidRPr="00B82A8A">
        <w:rPr>
          <w:b/>
          <w:lang w:eastAsia="zh-CN"/>
        </w:rPr>
        <w:t xml:space="preserve">Observation 3: Although maintenance of serving cell on FR1 may be regarded as a top priority in mobility needs, efficient serving cell changes are still rather important for FR2 to provide a good user experience, especially considering the likely small cell size on FR2 and the fact that basic measurement </w:t>
      </w:r>
      <w:r>
        <w:rPr>
          <w:b/>
          <w:lang w:eastAsia="zh-CN"/>
        </w:rPr>
        <w:t>delays and handover/serving cell change</w:t>
      </w:r>
      <w:r w:rsidRPr="00B82A8A">
        <w:rPr>
          <w:b/>
          <w:lang w:eastAsia="zh-CN"/>
        </w:rPr>
        <w:t xml:space="preserve"> on FR2 are longer due to the need for UE RX beam</w:t>
      </w:r>
      <w:r w:rsidR="00A04444">
        <w:rPr>
          <w:b/>
          <w:lang w:eastAsia="zh-CN"/>
        </w:rPr>
        <w:t xml:space="preserve"> </w:t>
      </w:r>
      <w:r w:rsidRPr="00B82A8A">
        <w:rPr>
          <w:b/>
          <w:lang w:eastAsia="zh-CN"/>
        </w:rPr>
        <w:t>sweeping</w:t>
      </w:r>
    </w:p>
    <w:p w:rsidR="00460A4E" w:rsidRPr="00B82A8A" w:rsidRDefault="00460A4E" w:rsidP="00460A4E">
      <w:pPr>
        <w:rPr>
          <w:b/>
          <w:lang w:eastAsia="zh-CN"/>
        </w:rPr>
      </w:pPr>
      <w:r w:rsidRPr="00B82A8A">
        <w:rPr>
          <w:b/>
          <w:lang w:eastAsia="zh-CN"/>
        </w:rPr>
        <w:t xml:space="preserve">Observation 4: </w:t>
      </w:r>
      <w:r>
        <w:rPr>
          <w:b/>
          <w:lang w:eastAsia="zh-CN"/>
        </w:rPr>
        <w:t>T</w:t>
      </w:r>
      <w:r w:rsidRPr="00B82A8A">
        <w:rPr>
          <w:b/>
          <w:lang w:eastAsia="zh-CN"/>
        </w:rPr>
        <w:t>here exist scenarios where there will be a very large number of measurement objects in the proposed pool B. This also implies that a large CSSF</w:t>
      </w:r>
      <w:r w:rsidRPr="00B82A8A">
        <w:rPr>
          <w:b/>
          <w:vertAlign w:val="subscript"/>
          <w:lang w:eastAsia="zh-CN"/>
        </w:rPr>
        <w:t>within_gap</w:t>
      </w:r>
      <w:r w:rsidRPr="00B82A8A">
        <w:rPr>
          <w:b/>
          <w:lang w:eastAsia="zh-CN"/>
        </w:rPr>
        <w:t xml:space="preserve"> for the proposed intrafrequency measurement objects in pool B could be unavoidable.</w:t>
      </w:r>
    </w:p>
    <w:p w:rsidR="00460A4E" w:rsidRDefault="00460A4E" w:rsidP="00460A4E">
      <w:pPr>
        <w:rPr>
          <w:b/>
          <w:lang w:eastAsia="zh-CN"/>
        </w:rPr>
      </w:pPr>
      <w:r>
        <w:rPr>
          <w:b/>
          <w:lang w:eastAsia="zh-CN"/>
        </w:rPr>
        <w:t>Observation 5: Schemes to mitigate increased FR2 measurement delay due to deprioritisation may increase SSB overhead or reduce user throughput.</w:t>
      </w:r>
    </w:p>
    <w:p w:rsidR="00460A4E" w:rsidRPr="00066F04" w:rsidRDefault="00460A4E" w:rsidP="00460A4E">
      <w:pPr>
        <w:rPr>
          <w:lang w:eastAsia="zh-CN"/>
        </w:rPr>
      </w:pPr>
      <w:r>
        <w:rPr>
          <w:lang w:eastAsia="zh-CN"/>
        </w:rPr>
        <w:t xml:space="preserve">Based on observations 1-5, we have significant concerns on the proposal in </w:t>
      </w:r>
      <w:r>
        <w:rPr>
          <w:lang w:eastAsia="zh-CN"/>
        </w:rPr>
        <w:fldChar w:fldCharType="begin"/>
      </w:r>
      <w:r>
        <w:rPr>
          <w:lang w:eastAsia="zh-CN"/>
        </w:rPr>
        <w:instrText xml:space="preserve"> REF _Ref3541219 \r \h </w:instrText>
      </w:r>
      <w:r>
        <w:rPr>
          <w:lang w:eastAsia="zh-CN"/>
        </w:rPr>
      </w:r>
      <w:r>
        <w:rPr>
          <w:lang w:eastAsia="zh-CN"/>
        </w:rPr>
        <w:fldChar w:fldCharType="separate"/>
      </w:r>
      <w:r>
        <w:rPr>
          <w:lang w:eastAsia="zh-CN"/>
        </w:rPr>
        <w:t>[1]</w:t>
      </w:r>
      <w:r>
        <w:rPr>
          <w:lang w:eastAsia="zh-CN"/>
        </w:rPr>
        <w:fldChar w:fldCharType="end"/>
      </w:r>
      <w:r>
        <w:rPr>
          <w:lang w:eastAsia="zh-CN"/>
        </w:rPr>
        <w:t xml:space="preserve"> to prioritise FR1 intrafrequency measurement, since it also implies that FR2 intrafrequency measurement is deprioritised. The number of measurement objects in pool B may become large, and intra-frequency measurement delays may become very long, especially if the gap sharing ratio prioritises pool 1 and </w:t>
      </w:r>
      <w:r>
        <w:rPr>
          <w:lang w:eastAsia="zh-CN"/>
        </w:rPr>
        <w:lastRenderedPageBreak/>
        <w:t xml:space="preserve">additionally due to RX beamforming on FR2. Hence we propose that </w:t>
      </w:r>
      <w:r w:rsidRPr="00066F04">
        <w:rPr>
          <w:lang w:eastAsia="zh-CN"/>
        </w:rPr>
        <w:t>a similar scheme to EN-DC and SA measurement gap sharing is adopted, as shown in table 2</w:t>
      </w:r>
      <w:r>
        <w:rPr>
          <w:lang w:eastAsia="zh-CN"/>
        </w:rPr>
        <w:t>.</w:t>
      </w:r>
    </w:p>
    <w:p w:rsidR="00460A4E" w:rsidRPr="00580067" w:rsidRDefault="00460A4E" w:rsidP="00460A4E">
      <w:pPr>
        <w:rPr>
          <w:b/>
          <w:lang w:eastAsia="zh-CN"/>
        </w:rPr>
      </w:pPr>
      <w:r>
        <w:rPr>
          <w:lang w:eastAsia="zh-CN"/>
        </w:rPr>
        <w:t xml:space="preserve"> </w:t>
      </w:r>
      <w:r>
        <w:rPr>
          <w:b/>
          <w:lang w:eastAsia="zh-CN"/>
        </w:rPr>
        <w:t>Proposal 1: Adopt the gap sharing scheme shown in table 2</w:t>
      </w:r>
    </w:p>
    <w:tbl>
      <w:tblPr>
        <w:tblStyle w:val="TableGrid"/>
        <w:tblW w:w="0" w:type="auto"/>
        <w:tblLook w:val="04A0" w:firstRow="1" w:lastRow="0" w:firstColumn="1" w:lastColumn="0" w:noHBand="0" w:noVBand="1"/>
      </w:tblPr>
      <w:tblGrid>
        <w:gridCol w:w="3510"/>
        <w:gridCol w:w="3510"/>
      </w:tblGrid>
      <w:tr w:rsidR="00460A4E" w:rsidTr="00B519EE">
        <w:tc>
          <w:tcPr>
            <w:tcW w:w="3510" w:type="dxa"/>
          </w:tcPr>
          <w:p w:rsidR="00460A4E" w:rsidRPr="00BF1DB2" w:rsidRDefault="00460A4E" w:rsidP="00B519EE">
            <w:pPr>
              <w:rPr>
                <w:b/>
                <w:lang w:eastAsia="zh-CN"/>
              </w:rPr>
            </w:pPr>
            <w:r w:rsidRPr="00BF1DB2">
              <w:rPr>
                <w:b/>
                <w:lang w:eastAsia="zh-CN"/>
              </w:rPr>
              <w:t>Pool A</w:t>
            </w:r>
          </w:p>
        </w:tc>
        <w:tc>
          <w:tcPr>
            <w:tcW w:w="3510" w:type="dxa"/>
          </w:tcPr>
          <w:p w:rsidR="00460A4E" w:rsidRPr="00BF1DB2" w:rsidRDefault="00460A4E" w:rsidP="00B519EE">
            <w:pPr>
              <w:rPr>
                <w:b/>
                <w:lang w:eastAsia="zh-CN"/>
              </w:rPr>
            </w:pPr>
            <w:r w:rsidRPr="00BF1DB2">
              <w:rPr>
                <w:b/>
                <w:lang w:eastAsia="zh-CN"/>
              </w:rPr>
              <w:t>Pool B</w:t>
            </w:r>
          </w:p>
        </w:tc>
      </w:tr>
      <w:tr w:rsidR="00460A4E" w:rsidTr="00B519EE">
        <w:tc>
          <w:tcPr>
            <w:tcW w:w="3510" w:type="dxa"/>
          </w:tcPr>
          <w:p w:rsidR="00460A4E" w:rsidRDefault="00460A4E" w:rsidP="00B519EE">
            <w:pPr>
              <w:rPr>
                <w:lang w:eastAsia="zh-CN"/>
              </w:rPr>
            </w:pPr>
            <w:r>
              <w:rPr>
                <w:lang w:eastAsia="zh-CN"/>
              </w:rPr>
              <w:t>NR Intrafrequency FR1 gap or type C measurement</w:t>
            </w:r>
          </w:p>
        </w:tc>
        <w:tc>
          <w:tcPr>
            <w:tcW w:w="3510" w:type="dxa"/>
          </w:tcPr>
          <w:p w:rsidR="00460A4E" w:rsidRDefault="00460A4E" w:rsidP="00B519EE">
            <w:pPr>
              <w:rPr>
                <w:lang w:eastAsia="zh-CN"/>
              </w:rPr>
            </w:pPr>
            <w:r>
              <w:rPr>
                <w:lang w:eastAsia="zh-CN"/>
              </w:rPr>
              <w:t xml:space="preserve">NR Interfrequency measurement configured by PCell or PSCell (NR-DC case only) </w:t>
            </w:r>
          </w:p>
        </w:tc>
      </w:tr>
      <w:tr w:rsidR="00460A4E" w:rsidTr="00B519EE">
        <w:tc>
          <w:tcPr>
            <w:tcW w:w="3510" w:type="dxa"/>
          </w:tcPr>
          <w:p w:rsidR="00460A4E" w:rsidRDefault="00460A4E" w:rsidP="00B519EE">
            <w:pPr>
              <w:rPr>
                <w:lang w:eastAsia="zh-CN"/>
              </w:rPr>
            </w:pPr>
            <w:r>
              <w:rPr>
                <w:lang w:eastAsia="zh-CN"/>
              </w:rPr>
              <w:t>NR Intrafrequency FR2 gap or type C measurement</w:t>
            </w:r>
          </w:p>
        </w:tc>
        <w:tc>
          <w:tcPr>
            <w:tcW w:w="3510" w:type="dxa"/>
          </w:tcPr>
          <w:p w:rsidR="00460A4E" w:rsidRDefault="00460A4E" w:rsidP="00B519EE">
            <w:pPr>
              <w:rPr>
                <w:lang w:eastAsia="zh-CN"/>
              </w:rPr>
            </w:pPr>
            <w:r>
              <w:rPr>
                <w:lang w:eastAsia="zh-CN"/>
              </w:rPr>
              <w:t>LTE interfrequency measurement configured by PSCell (NE-DC case only)</w:t>
            </w:r>
          </w:p>
        </w:tc>
      </w:tr>
      <w:tr w:rsidR="00460A4E" w:rsidTr="00B519EE">
        <w:tc>
          <w:tcPr>
            <w:tcW w:w="3510" w:type="dxa"/>
          </w:tcPr>
          <w:p w:rsidR="00460A4E" w:rsidRDefault="00460A4E" w:rsidP="00B519EE">
            <w:pPr>
              <w:rPr>
                <w:lang w:eastAsia="zh-CN"/>
              </w:rPr>
            </w:pPr>
          </w:p>
        </w:tc>
        <w:tc>
          <w:tcPr>
            <w:tcW w:w="3510" w:type="dxa"/>
          </w:tcPr>
          <w:p w:rsidR="00460A4E" w:rsidRDefault="00460A4E" w:rsidP="00B519EE">
            <w:pPr>
              <w:rPr>
                <w:lang w:eastAsia="zh-CN"/>
              </w:rPr>
            </w:pPr>
            <w:r>
              <w:rPr>
                <w:lang w:eastAsia="zh-CN"/>
              </w:rPr>
              <w:t>InterRAT E-UTRA FDD and E-UTRA TDD measurement configured by PCell (NR-DC case only)</w:t>
            </w:r>
          </w:p>
        </w:tc>
      </w:tr>
    </w:tbl>
    <w:p w:rsidR="00460A4E" w:rsidRPr="00580067" w:rsidRDefault="00460A4E" w:rsidP="00460A4E">
      <w:pPr>
        <w:rPr>
          <w:b/>
          <w:lang w:eastAsia="zh-CN"/>
        </w:rPr>
      </w:pPr>
      <w:r>
        <w:rPr>
          <w:b/>
          <w:lang w:eastAsia="zh-CN"/>
        </w:rPr>
        <w:t>Table 2: Gap sharing scheme proposed for FR2</w:t>
      </w:r>
    </w:p>
    <w:p w:rsidR="0033117D" w:rsidRPr="0033117D" w:rsidRDefault="0033117D" w:rsidP="0033117D">
      <w:pPr>
        <w:rPr>
          <w:lang w:val="en-US" w:eastAsia="zh-CN"/>
        </w:rPr>
      </w:pPr>
    </w:p>
    <w:p w:rsidR="00195030" w:rsidRDefault="00195030" w:rsidP="00195030">
      <w:pPr>
        <w:rPr>
          <w:b/>
        </w:rPr>
      </w:pPr>
    </w:p>
    <w:p w:rsidR="005813AA" w:rsidRDefault="005813AA" w:rsidP="005813AA">
      <w:pPr>
        <w:pStyle w:val="Heading1"/>
        <w:jc w:val="both"/>
        <w:rPr>
          <w:rFonts w:eastAsia="SimSun"/>
          <w:lang w:val="en-US" w:eastAsia="zh-CN"/>
        </w:rPr>
      </w:pPr>
      <w:r>
        <w:rPr>
          <w:rFonts w:eastAsia="SimSun"/>
          <w:lang w:val="en-US" w:eastAsia="zh-CN"/>
        </w:rPr>
        <w:t>References</w:t>
      </w:r>
    </w:p>
    <w:p w:rsidR="00C36F14" w:rsidRDefault="00DF40E2" w:rsidP="00436164">
      <w:pPr>
        <w:pStyle w:val="3GPPNormalText"/>
        <w:numPr>
          <w:ilvl w:val="0"/>
          <w:numId w:val="5"/>
        </w:numPr>
        <w:rPr>
          <w:lang w:eastAsia="zh-CN"/>
        </w:rPr>
      </w:pPr>
      <w:bookmarkStart w:id="2" w:name="_Ref3541219"/>
      <w:r>
        <w:rPr>
          <w:lang w:eastAsia="zh-CN"/>
        </w:rPr>
        <w:t>R4-1902621</w:t>
      </w:r>
      <w:r>
        <w:rPr>
          <w:lang w:eastAsia="zh-CN"/>
        </w:rPr>
        <w:tab/>
        <w:t>“Way forward on gap sharing for NE-DC and NR-DC”, Samsung, KDDI, Verizon Wireless</w:t>
      </w:r>
      <w:r w:rsidR="00DD4E14">
        <w:rPr>
          <w:lang w:eastAsia="zh-CN"/>
        </w:rPr>
        <w:t>”,</w:t>
      </w:r>
      <w:bookmarkEnd w:id="2"/>
      <w:r w:rsidR="00DD4E14">
        <w:rPr>
          <w:lang w:eastAsia="zh-CN"/>
        </w:rPr>
        <w:t xml:space="preserve"> </w:t>
      </w:r>
    </w:p>
    <w:sectPr w:rsidR="00C36F14"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688A" w:rsidRDefault="0042688A">
      <w:r>
        <w:separator/>
      </w:r>
    </w:p>
  </w:endnote>
  <w:endnote w:type="continuationSeparator" w:id="0">
    <w:p w:rsidR="0042688A" w:rsidRDefault="00426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688A" w:rsidRDefault="0042688A">
      <w:r>
        <w:separator/>
      </w:r>
    </w:p>
  </w:footnote>
  <w:footnote w:type="continuationSeparator" w:id="0">
    <w:p w:rsidR="0042688A" w:rsidRDefault="00426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3"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4C1F0A"/>
    <w:multiLevelType w:val="hybridMultilevel"/>
    <w:tmpl w:val="11203C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2451C1"/>
    <w:multiLevelType w:val="hybridMultilevel"/>
    <w:tmpl w:val="BDC2506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5CE51BB"/>
    <w:multiLevelType w:val="hybridMultilevel"/>
    <w:tmpl w:val="BDC2506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27"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28"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4"/>
  </w:num>
  <w:num w:numId="2">
    <w:abstractNumId w:val="25"/>
  </w:num>
  <w:num w:numId="3">
    <w:abstractNumId w:val="27"/>
  </w:num>
  <w:num w:numId="4">
    <w:abstractNumId w:val="9"/>
  </w:num>
  <w:num w:numId="5">
    <w:abstractNumId w:val="12"/>
  </w:num>
  <w:num w:numId="6">
    <w:abstractNumId w:val="4"/>
  </w:num>
  <w:num w:numId="7">
    <w:abstractNumId w:val="7"/>
  </w:num>
  <w:num w:numId="8">
    <w:abstractNumId w:val="24"/>
  </w:num>
  <w:num w:numId="9">
    <w:abstractNumId w:val="19"/>
  </w:num>
  <w:num w:numId="10">
    <w:abstractNumId w:val="1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6"/>
  </w:num>
  <w:num w:numId="13">
    <w:abstractNumId w:val="1"/>
  </w:num>
  <w:num w:numId="14">
    <w:abstractNumId w:val="20"/>
  </w:num>
  <w:num w:numId="15">
    <w:abstractNumId w:val="5"/>
  </w:num>
  <w:num w:numId="16">
    <w:abstractNumId w:val="2"/>
  </w:num>
  <w:num w:numId="17">
    <w:abstractNumId w:val="15"/>
  </w:num>
  <w:num w:numId="18">
    <w:abstractNumId w:val="13"/>
  </w:num>
  <w:num w:numId="19">
    <w:abstractNumId w:val="3"/>
  </w:num>
  <w:num w:numId="20">
    <w:abstractNumId w:val="10"/>
  </w:num>
  <w:num w:numId="21">
    <w:abstractNumId w:val="11"/>
  </w:num>
  <w:num w:numId="22">
    <w:abstractNumId w:val="8"/>
  </w:num>
  <w:num w:numId="23">
    <w:abstractNumId w:val="28"/>
  </w:num>
  <w:num w:numId="24">
    <w:abstractNumId w:val="26"/>
  </w:num>
  <w:num w:numId="25">
    <w:abstractNumId w:val="23"/>
  </w:num>
  <w:num w:numId="26">
    <w:abstractNumId w:val="6"/>
  </w:num>
  <w:num w:numId="27">
    <w:abstractNumId w:val="17"/>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22"/>
  </w:num>
  <w:num w:numId="30">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6F04"/>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4C8E"/>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5763"/>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00"/>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05D"/>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17D"/>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2"/>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BCE"/>
    <w:rsid w:val="003B6C1C"/>
    <w:rsid w:val="003B757D"/>
    <w:rsid w:val="003B760D"/>
    <w:rsid w:val="003B76D5"/>
    <w:rsid w:val="003B7D14"/>
    <w:rsid w:val="003C015A"/>
    <w:rsid w:val="003C0276"/>
    <w:rsid w:val="003C0465"/>
    <w:rsid w:val="003C06DA"/>
    <w:rsid w:val="003C095F"/>
    <w:rsid w:val="003C109D"/>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88A"/>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A4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067"/>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A80"/>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75A"/>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9CF"/>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0F64"/>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515"/>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969"/>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444"/>
    <w:rsid w:val="00A0491C"/>
    <w:rsid w:val="00A04F78"/>
    <w:rsid w:val="00A05922"/>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A8A"/>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1DB2"/>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57DFA"/>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0E2"/>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0D"/>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8B4"/>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471"/>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0A4E"/>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DF84B76D-38AE-42FC-AA18-DE3043AC6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5</Pages>
  <Words>2193</Words>
  <Characters>12501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4</cp:revision>
  <cp:lastPrinted>2009-04-22T13:01:00Z</cp:lastPrinted>
  <dcterms:created xsi:type="dcterms:W3CDTF">2019-04-01T09:45:00Z</dcterms:created>
  <dcterms:modified xsi:type="dcterms:W3CDTF">2019-04-01T15:38:00Z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